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9CB81">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三门</w:t>
      </w:r>
      <w:bookmarkStart w:id="0" w:name="_GoBack"/>
      <w:bookmarkEnd w:id="0"/>
      <w:r>
        <w:rPr>
          <w:rFonts w:hint="eastAsia" w:ascii="方正小标宋简体" w:hAnsi="宋体" w:eastAsia="方正小标宋简体"/>
          <w:sz w:val="44"/>
          <w:szCs w:val="44"/>
          <w:lang w:eastAsia="zh-CN"/>
        </w:rPr>
        <w:t>峡市市场监督管理局</w:t>
      </w:r>
    </w:p>
    <w:p w14:paraId="1DF6F568">
      <w:pPr>
        <w:spacing w:line="56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关于印发</w:t>
      </w:r>
      <w:r>
        <w:rPr>
          <w:rFonts w:ascii="方正小标宋简体" w:hAnsi="宋体" w:eastAsia="方正小标宋简体"/>
          <w:sz w:val="44"/>
          <w:szCs w:val="44"/>
        </w:rPr>
        <w:t>202</w:t>
      </w:r>
      <w:r>
        <w:rPr>
          <w:rFonts w:hint="eastAsia" w:ascii="方正小标宋简体" w:hAnsi="宋体" w:eastAsia="方正小标宋简体"/>
          <w:sz w:val="44"/>
          <w:szCs w:val="44"/>
          <w:lang w:val="en-US" w:eastAsia="zh-CN"/>
        </w:rPr>
        <w:t>6</w:t>
      </w:r>
      <w:r>
        <w:rPr>
          <w:rFonts w:hint="eastAsia" w:ascii="方正小标宋简体" w:hAnsi="宋体" w:eastAsia="方正小标宋简体"/>
          <w:sz w:val="44"/>
          <w:szCs w:val="44"/>
        </w:rPr>
        <w:t>年度</w:t>
      </w:r>
      <w:r>
        <w:rPr>
          <w:rFonts w:hint="eastAsia" w:ascii="方正小标宋简体" w:hAnsi="宋体" w:eastAsia="方正小标宋简体"/>
          <w:sz w:val="44"/>
          <w:szCs w:val="44"/>
          <w:lang w:eastAsia="zh-CN"/>
        </w:rPr>
        <w:t>三门峡市</w:t>
      </w:r>
      <w:r>
        <w:rPr>
          <w:rFonts w:hint="eastAsia" w:ascii="方正小标宋简体" w:hAnsi="宋体" w:eastAsia="方正小标宋简体"/>
          <w:sz w:val="44"/>
          <w:szCs w:val="44"/>
        </w:rPr>
        <w:t>医疗器械</w:t>
      </w:r>
    </w:p>
    <w:p w14:paraId="0E42ECD4">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生产</w:t>
      </w:r>
      <w:r>
        <w:rPr>
          <w:rFonts w:hint="eastAsia" w:ascii="方正小标宋简体" w:hAnsi="宋体" w:eastAsia="方正小标宋简体"/>
          <w:sz w:val="44"/>
          <w:szCs w:val="44"/>
        </w:rPr>
        <w:t>经营使用环节监督管理工作计划的通知</w:t>
      </w:r>
    </w:p>
    <w:p w14:paraId="45E042A1">
      <w:pPr>
        <w:spacing w:line="560" w:lineRule="exact"/>
        <w:rPr>
          <w:rFonts w:hint="eastAsia" w:ascii="仿宋_GB2312" w:hAnsi="宋体" w:eastAsia="仿宋_GB2312"/>
          <w:sz w:val="32"/>
          <w:szCs w:val="32"/>
          <w:lang w:eastAsia="zh-CN"/>
        </w:rPr>
      </w:pPr>
    </w:p>
    <w:p w14:paraId="71485413">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各县（市）</w:t>
      </w:r>
      <w:r>
        <w:rPr>
          <w:rFonts w:hint="eastAsia" w:ascii="仿宋_GB2312" w:hAnsi="仿宋_GB2312" w:eastAsia="仿宋_GB2312" w:cs="仿宋_GB2312"/>
          <w:sz w:val="32"/>
          <w:szCs w:val="32"/>
        </w:rPr>
        <w:t>市场监督管理局，</w:t>
      </w:r>
      <w:r>
        <w:rPr>
          <w:rFonts w:hint="eastAsia" w:ascii="仿宋_GB2312" w:hAnsi="仿宋_GB2312" w:eastAsia="仿宋_GB2312" w:cs="仿宋_GB2312"/>
          <w:sz w:val="32"/>
          <w:szCs w:val="32"/>
          <w:lang w:eastAsia="zh-CN"/>
        </w:rPr>
        <w:t>市局直属各</w:t>
      </w:r>
      <w:r>
        <w:rPr>
          <w:rFonts w:hint="eastAsia" w:ascii="仿宋_GB2312" w:hAnsi="仿宋_GB2312" w:eastAsia="仿宋_GB2312" w:cs="仿宋_GB2312"/>
          <w:sz w:val="32"/>
          <w:szCs w:val="32"/>
        </w:rPr>
        <w:t>分局：</w:t>
      </w:r>
    </w:p>
    <w:p w14:paraId="0056A0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为贯彻落实</w:t>
      </w:r>
      <w:r>
        <w:rPr>
          <w:rFonts w:hint="eastAsia" w:ascii="仿宋_GB2312" w:hAnsi="仿宋_GB2312" w:eastAsia="仿宋_GB2312" w:cs="仿宋_GB2312"/>
          <w:sz w:val="32"/>
          <w:szCs w:val="32"/>
          <w:lang w:eastAsia="zh-CN"/>
        </w:rPr>
        <w:t>河南省</w:t>
      </w:r>
      <w:r>
        <w:rPr>
          <w:rFonts w:hint="eastAsia" w:ascii="仿宋_GB2312" w:hAnsi="仿宋_GB2312" w:eastAsia="仿宋_GB2312" w:cs="仿宋_GB2312"/>
          <w:sz w:val="32"/>
          <w:szCs w:val="32"/>
        </w:rPr>
        <w:t>医疗器械监督管理工作</w:t>
      </w:r>
      <w:r>
        <w:rPr>
          <w:rFonts w:hint="eastAsia" w:ascii="仿宋_GB2312" w:hAnsi="仿宋_GB2312" w:eastAsia="仿宋_GB2312" w:cs="仿宋_GB2312"/>
          <w:sz w:val="32"/>
          <w:szCs w:val="32"/>
          <w:lang w:eastAsia="zh-CN"/>
        </w:rPr>
        <w:t>会议和全市市场监督管理工作</w:t>
      </w:r>
      <w:r>
        <w:rPr>
          <w:rFonts w:hint="eastAsia" w:ascii="仿宋_GB2312" w:hAnsi="仿宋_GB2312" w:eastAsia="仿宋_GB2312" w:cs="仿宋_GB2312"/>
          <w:sz w:val="32"/>
          <w:szCs w:val="32"/>
        </w:rPr>
        <w:t>会议精神，进一步加强</w:t>
      </w:r>
      <w:r>
        <w:rPr>
          <w:rFonts w:hint="eastAsia" w:ascii="仿宋_GB2312" w:hAnsi="仿宋_GB2312" w:eastAsia="仿宋_GB2312" w:cs="仿宋_GB2312"/>
          <w:sz w:val="32"/>
          <w:szCs w:val="32"/>
          <w:lang w:eastAsia="zh-CN"/>
        </w:rPr>
        <w:t>我市</w:t>
      </w: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eastAsia="zh-CN"/>
        </w:rPr>
        <w:t>生产（一类）</w:t>
      </w:r>
      <w:r>
        <w:rPr>
          <w:rFonts w:hint="eastAsia" w:ascii="仿宋_GB2312" w:hAnsi="仿宋_GB2312" w:eastAsia="仿宋_GB2312" w:cs="仿宋_GB2312"/>
          <w:sz w:val="32"/>
          <w:szCs w:val="32"/>
        </w:rPr>
        <w:t>经营使用环节监督管理，保障公众用械安全</w:t>
      </w:r>
      <w:r>
        <w:rPr>
          <w:rFonts w:hint="eastAsia" w:ascii="仿宋_GB2312" w:hAnsi="仿宋_GB2312" w:eastAsia="仿宋_GB2312" w:cs="仿宋_GB2312"/>
          <w:sz w:val="32"/>
          <w:szCs w:val="32"/>
          <w:lang w:eastAsia="zh-CN"/>
        </w:rPr>
        <w:t>，经市局同意，现将《</w:t>
      </w:r>
      <w:r>
        <w:rPr>
          <w:rFonts w:hint="default" w:ascii="Times New Roman" w:hAnsi="Times New Roman" w:eastAsia="仿宋_GB2312" w:cs="Times New Roman"/>
          <w:sz w:val="32"/>
          <w:szCs w:val="32"/>
          <w:lang w:val="en" w:eastAsia="zh-CN"/>
        </w:rPr>
        <w:t>202</w:t>
      </w:r>
      <w:r>
        <w:rPr>
          <w:rFonts w:hint="default"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eastAsia="zh-CN"/>
        </w:rPr>
        <w:t>年度三门峡市医疗器械生产经营使用环节监督管理工作计划》印发给你们，请结合工作实际，认真贯彻执行。</w:t>
      </w:r>
    </w:p>
    <w:p w14:paraId="5477E40A">
      <w:pPr>
        <w:keepNext w:val="0"/>
        <w:keepLines w:val="0"/>
        <w:pageBreakBefore w:val="0"/>
        <w:widowControl w:val="0"/>
        <w:kinsoku/>
        <w:wordWrap/>
        <w:topLinePunct w:val="0"/>
        <w:autoSpaceDE/>
        <w:autoSpaceDN/>
        <w:bidi w:val="0"/>
        <w:spacing w:line="560" w:lineRule="exact"/>
        <w:textAlignment w:val="auto"/>
        <w:outlineLvl w:val="9"/>
        <w:rPr>
          <w:rFonts w:hint="eastAsia" w:ascii="Times New Roman" w:hAnsi="Times New Roman" w:eastAsia="仿宋_GB2312" w:cs="Times New Roman"/>
          <w:sz w:val="32"/>
          <w:szCs w:val="32"/>
          <w:lang w:val="en" w:eastAsia="zh-CN"/>
        </w:rPr>
      </w:pPr>
    </w:p>
    <w:p w14:paraId="047C4857">
      <w:pPr>
        <w:keepNext w:val="0"/>
        <w:keepLines w:val="0"/>
        <w:pageBreakBefore w:val="0"/>
        <w:widowControl w:val="0"/>
        <w:kinsoku/>
        <w:wordWrap/>
        <w:topLinePunct w:val="0"/>
        <w:autoSpaceDE/>
        <w:autoSpaceDN/>
        <w:bidi w:val="0"/>
        <w:spacing w:line="560" w:lineRule="exact"/>
        <w:jc w:val="right"/>
        <w:textAlignment w:val="auto"/>
        <w:outlineLvl w:val="9"/>
        <w:rPr>
          <w:rFonts w:hint="eastAsia" w:ascii="Times New Roman" w:hAnsi="Times New Roman" w:eastAsia="仿宋_GB2312" w:cs="Times New Roman"/>
          <w:color w:val="000000"/>
          <w:sz w:val="32"/>
          <w:szCs w:val="32"/>
          <w:lang w:val="en" w:eastAsia="zh-CN"/>
        </w:rPr>
      </w:pPr>
    </w:p>
    <w:p w14:paraId="0C320B0F">
      <w:pPr>
        <w:keepNext w:val="0"/>
        <w:keepLines w:val="0"/>
        <w:pageBreakBefore w:val="0"/>
        <w:widowControl w:val="0"/>
        <w:kinsoku/>
        <w:wordWrap/>
        <w:topLinePunct w:val="0"/>
        <w:autoSpaceDE/>
        <w:autoSpaceDN/>
        <w:bidi w:val="0"/>
        <w:spacing w:line="560" w:lineRule="exact"/>
        <w:jc w:val="center"/>
        <w:textAlignment w:val="auto"/>
        <w:outlineLvl w:val="9"/>
        <w:rPr>
          <w:rFonts w:ascii="仿宋_GB2312" w:hAnsi="宋体" w:eastAsia="仿宋_GB2312"/>
          <w:sz w:val="32"/>
          <w:szCs w:val="32"/>
        </w:rPr>
      </w:pPr>
      <w:r>
        <w:rPr>
          <w:rFonts w:hint="eastAsia" w:eastAsia="仿宋_GB2312" w:cs="Times New Roman"/>
          <w:color w:val="000000"/>
          <w:sz w:val="32"/>
          <w:szCs w:val="32"/>
          <w:lang w:val="en-US" w:eastAsia="zh-CN"/>
        </w:rPr>
        <w:t xml:space="preserve">                                </w:t>
      </w:r>
      <w:r>
        <w:rPr>
          <w:rFonts w:hint="eastAsia" w:ascii="Times New Roman" w:hAnsi="Times New Roman" w:eastAsia="仿宋_GB2312" w:cs="Times New Roman"/>
          <w:color w:val="000000"/>
          <w:sz w:val="32"/>
          <w:szCs w:val="32"/>
          <w:lang w:val="en" w:eastAsia="zh-CN"/>
        </w:rPr>
        <w:t>202</w:t>
      </w:r>
      <w:r>
        <w:rPr>
          <w:rFonts w:hint="eastAsia" w:eastAsia="仿宋_GB2312" w:cs="Times New Roman"/>
          <w:color w:val="000000"/>
          <w:sz w:val="32"/>
          <w:szCs w:val="32"/>
          <w:lang w:val="en-US" w:eastAsia="zh-CN"/>
        </w:rPr>
        <w:t>6</w:t>
      </w:r>
      <w:r>
        <w:rPr>
          <w:rFonts w:hint="eastAsia" w:ascii="仿宋_GB2312" w:hAnsi="宋体" w:eastAsia="仿宋_GB2312"/>
          <w:color w:val="auto"/>
          <w:sz w:val="32"/>
          <w:szCs w:val="32"/>
          <w:lang w:eastAsia="zh-CN"/>
        </w:rPr>
        <w:t>年</w:t>
      </w:r>
      <w:r>
        <w:rPr>
          <w:rFonts w:hint="eastAsia" w:eastAsia="仿宋_GB2312" w:cs="Times New Roman"/>
          <w:color w:val="000000"/>
          <w:sz w:val="32"/>
          <w:szCs w:val="32"/>
          <w:lang w:val="en-US" w:eastAsia="zh-CN"/>
        </w:rPr>
        <w:t>4</w:t>
      </w:r>
      <w:r>
        <w:rPr>
          <w:rFonts w:hint="eastAsia" w:ascii="仿宋_GB2312" w:hAnsi="宋体" w:eastAsia="仿宋_GB2312"/>
          <w:color w:val="auto"/>
          <w:sz w:val="32"/>
          <w:szCs w:val="32"/>
        </w:rPr>
        <w:t>月</w:t>
      </w:r>
      <w:r>
        <w:rPr>
          <w:rFonts w:hint="eastAsia" w:eastAsia="仿宋_GB2312" w:cs="Times New Roman"/>
          <w:sz w:val="32"/>
          <w:szCs w:val="32"/>
          <w:lang w:val="en-US" w:eastAsia="zh-CN"/>
        </w:rPr>
        <w:t>9</w:t>
      </w:r>
      <w:r>
        <w:rPr>
          <w:rFonts w:hint="eastAsia" w:ascii="仿宋_GB2312" w:hAnsi="宋体" w:eastAsia="仿宋_GB2312"/>
          <w:color w:val="auto"/>
          <w:sz w:val="32"/>
          <w:szCs w:val="32"/>
        </w:rPr>
        <w:t>日</w:t>
      </w:r>
    </w:p>
    <w:p w14:paraId="346CDF57">
      <w:pPr>
        <w:keepNext w:val="0"/>
        <w:keepLines w:val="0"/>
        <w:pageBreakBefore w:val="0"/>
        <w:widowControl w:val="0"/>
        <w:kinsoku/>
        <w:wordWrap/>
        <w:topLinePunct w:val="0"/>
        <w:autoSpaceDE/>
        <w:autoSpaceDN/>
        <w:bidi w:val="0"/>
        <w:spacing w:line="560" w:lineRule="exact"/>
        <w:jc w:val="right"/>
        <w:textAlignment w:val="auto"/>
        <w:outlineLvl w:val="9"/>
        <w:rPr>
          <w:rFonts w:ascii="仿宋_GB2312" w:hAnsi="宋体" w:eastAsia="仿宋_GB2312"/>
          <w:sz w:val="32"/>
          <w:szCs w:val="32"/>
        </w:rPr>
        <w:sectPr>
          <w:headerReference r:id="rId3" w:type="default"/>
          <w:footerReference r:id="rId4" w:type="default"/>
          <w:type w:val="continuous"/>
          <w:pgSz w:w="11906" w:h="16838"/>
          <w:pgMar w:top="2098" w:right="1474" w:bottom="1984" w:left="1588" w:header="851" w:footer="1587" w:gutter="0"/>
          <w:cols w:space="720" w:num="1"/>
          <w:rtlGutter w:val="0"/>
          <w:docGrid w:type="lines" w:linePitch="312" w:charSpace="0"/>
        </w:sectPr>
      </w:pPr>
    </w:p>
    <w:p w14:paraId="0315204C">
      <w:pPr>
        <w:keepNext w:val="0"/>
        <w:keepLines w:val="0"/>
        <w:pageBreakBefore w:val="0"/>
        <w:widowControl w:val="0"/>
        <w:kinsoku/>
        <w:wordWrap/>
        <w:topLinePunct w:val="0"/>
        <w:autoSpaceDE/>
        <w:autoSpaceDN/>
        <w:bidi w:val="0"/>
        <w:spacing w:line="560" w:lineRule="exact"/>
        <w:jc w:val="center"/>
        <w:textAlignment w:val="auto"/>
        <w:outlineLvl w:val="9"/>
        <w:rPr>
          <w:rFonts w:hint="eastAsia" w:ascii="方正小标宋简体" w:hAnsi="宋体" w:eastAsia="方正小标宋简体"/>
          <w:sz w:val="44"/>
          <w:szCs w:val="44"/>
        </w:rPr>
      </w:pPr>
      <w:r>
        <w:rPr>
          <w:rFonts w:hint="eastAsia" w:ascii="方正小标宋简体" w:hAnsi="宋体" w:eastAsia="方正小标宋简体"/>
          <w:sz w:val="44"/>
          <w:szCs w:val="44"/>
          <w:lang w:eastAsia="zh-CN"/>
        </w:rPr>
        <w:t>202</w:t>
      </w:r>
      <w:r>
        <w:rPr>
          <w:rFonts w:hint="eastAsia" w:ascii="方正小标宋简体" w:hAnsi="宋体" w:eastAsia="方正小标宋简体"/>
          <w:sz w:val="44"/>
          <w:szCs w:val="44"/>
          <w:lang w:val="en-US" w:eastAsia="zh-CN"/>
        </w:rPr>
        <w:t>6</w:t>
      </w:r>
      <w:r>
        <w:rPr>
          <w:rFonts w:hint="eastAsia" w:ascii="方正小标宋简体" w:hAnsi="宋体" w:eastAsia="方正小标宋简体"/>
          <w:sz w:val="44"/>
          <w:szCs w:val="44"/>
          <w:lang w:eastAsia="zh-CN"/>
        </w:rPr>
        <w:t>年</w:t>
      </w:r>
      <w:r>
        <w:rPr>
          <w:rFonts w:hint="eastAsia" w:ascii="方正小标宋简体" w:hAnsi="宋体" w:eastAsia="方正小标宋简体"/>
          <w:sz w:val="44"/>
          <w:szCs w:val="44"/>
        </w:rPr>
        <w:t>度</w:t>
      </w:r>
      <w:r>
        <w:rPr>
          <w:rFonts w:hint="eastAsia" w:ascii="方正小标宋简体" w:hAnsi="宋体" w:eastAsia="方正小标宋简体"/>
          <w:sz w:val="44"/>
          <w:szCs w:val="44"/>
          <w:lang w:eastAsia="zh-CN"/>
        </w:rPr>
        <w:t>三门峡市</w:t>
      </w:r>
      <w:r>
        <w:rPr>
          <w:rFonts w:hint="eastAsia" w:ascii="方正小标宋简体" w:hAnsi="宋体" w:eastAsia="方正小标宋简体" w:cs="宋体"/>
          <w:sz w:val="44"/>
          <w:szCs w:val="44"/>
        </w:rPr>
        <w:t>医疗</w:t>
      </w:r>
      <w:r>
        <w:rPr>
          <w:rFonts w:hint="eastAsia" w:ascii="方正小标宋简体" w:hAnsi="宋体" w:eastAsia="方正小标宋简体" w:cs="Batang"/>
          <w:sz w:val="44"/>
          <w:szCs w:val="44"/>
        </w:rPr>
        <w:t>器械</w:t>
      </w:r>
      <w:r>
        <w:rPr>
          <w:rFonts w:hint="eastAsia" w:ascii="方正小标宋简体" w:hAnsi="宋体" w:eastAsia="方正小标宋简体" w:cs="Batang"/>
          <w:sz w:val="44"/>
          <w:szCs w:val="44"/>
          <w:lang w:eastAsia="zh-CN"/>
        </w:rPr>
        <w:t>生产</w:t>
      </w:r>
      <w:r>
        <w:rPr>
          <w:rFonts w:hint="eastAsia" w:ascii="方正小标宋简体" w:hAnsi="宋体" w:eastAsia="方正小标宋简体"/>
          <w:sz w:val="44"/>
          <w:szCs w:val="44"/>
        </w:rPr>
        <w:t>经营使用</w:t>
      </w:r>
    </w:p>
    <w:p w14:paraId="5ACD0876">
      <w:pPr>
        <w:keepNext w:val="0"/>
        <w:keepLines w:val="0"/>
        <w:pageBreakBefore w:val="0"/>
        <w:widowControl w:val="0"/>
        <w:kinsoku/>
        <w:wordWrap/>
        <w:topLinePunct w:val="0"/>
        <w:autoSpaceDE/>
        <w:autoSpaceDN/>
        <w:bidi w:val="0"/>
        <w:spacing w:line="560" w:lineRule="exact"/>
        <w:jc w:val="center"/>
        <w:textAlignment w:val="auto"/>
        <w:outlineLvl w:val="9"/>
        <w:rPr>
          <w:rFonts w:hint="eastAsia" w:ascii="方正小标宋简体" w:hAnsi="宋体" w:eastAsia="方正小标宋简体" w:cs="宋体"/>
          <w:sz w:val="44"/>
          <w:szCs w:val="44"/>
          <w:lang w:eastAsia="zh-CN"/>
        </w:rPr>
      </w:pPr>
      <w:r>
        <w:rPr>
          <w:rFonts w:hint="eastAsia" w:ascii="方正小标宋简体" w:hAnsi="宋体" w:eastAsia="方正小标宋简体"/>
          <w:sz w:val="44"/>
          <w:szCs w:val="44"/>
        </w:rPr>
        <w:t>环节</w:t>
      </w:r>
      <w:r>
        <w:rPr>
          <w:rFonts w:hint="eastAsia" w:ascii="方正小标宋简体" w:hAnsi="宋体" w:eastAsia="方正小标宋简体" w:cs="Batang"/>
          <w:sz w:val="44"/>
          <w:szCs w:val="44"/>
        </w:rPr>
        <w:t>监督管理工作</w:t>
      </w:r>
      <w:r>
        <w:rPr>
          <w:rFonts w:hint="eastAsia" w:ascii="方正小标宋简体" w:hAnsi="宋体" w:eastAsia="方正小标宋简体" w:cs="宋体"/>
          <w:sz w:val="44"/>
          <w:szCs w:val="44"/>
        </w:rPr>
        <w:t>计划</w:t>
      </w:r>
    </w:p>
    <w:p w14:paraId="3CD07B37">
      <w:pPr>
        <w:keepNext w:val="0"/>
        <w:keepLines w:val="0"/>
        <w:pageBreakBefore w:val="0"/>
        <w:widowControl w:val="0"/>
        <w:kinsoku/>
        <w:wordWrap/>
        <w:topLinePunct w:val="0"/>
        <w:autoSpaceDE/>
        <w:autoSpaceDN/>
        <w:bidi w:val="0"/>
        <w:spacing w:line="560" w:lineRule="exact"/>
        <w:textAlignment w:val="auto"/>
        <w:outlineLvl w:val="9"/>
        <w:rPr>
          <w:rFonts w:ascii="仿宋_GB2312" w:hAnsi="宋体" w:eastAsia="仿宋_GB2312"/>
          <w:sz w:val="32"/>
          <w:szCs w:val="32"/>
        </w:rPr>
      </w:pPr>
    </w:p>
    <w:p w14:paraId="7A07D8A0">
      <w:pPr>
        <w:pStyle w:val="10"/>
        <w:keepNext w:val="0"/>
        <w:keepLines w:val="0"/>
        <w:pageBreakBefore w:val="0"/>
        <w:widowControl w:val="0"/>
        <w:kinsoku/>
        <w:wordWrap/>
        <w:overflowPunct/>
        <w:topLinePunct w:val="0"/>
        <w:autoSpaceDE/>
        <w:autoSpaceDN/>
        <w:bidi w:val="0"/>
        <w:snapToGrid/>
        <w:spacing w:after="0" w:line="560" w:lineRule="exact"/>
        <w:ind w:left="0" w:leftChars="0" w:firstLine="640" w:firstLineChars="200"/>
        <w:textAlignment w:val="auto"/>
        <w:outlineLvl w:val="9"/>
        <w:rPr>
          <w:rFonts w:ascii="仿宋_GB2312" w:hAnsi="宋体" w:eastAsia="仿宋_GB2312"/>
          <w:sz w:val="32"/>
          <w:szCs w:val="32"/>
        </w:rPr>
      </w:pPr>
      <w:r>
        <w:rPr>
          <w:rFonts w:hint="eastAsia" w:ascii="仿宋_GB2312" w:hAnsi="宋体" w:eastAsia="仿宋_GB2312"/>
          <w:sz w:val="32"/>
          <w:szCs w:val="32"/>
        </w:rPr>
        <w:t>按照</w:t>
      </w:r>
      <w:r>
        <w:rPr>
          <w:rFonts w:hint="eastAsia" w:ascii="仿宋_GB2312" w:hAnsi="宋体" w:eastAsia="仿宋_GB2312"/>
          <w:sz w:val="32"/>
          <w:szCs w:val="32"/>
          <w:lang w:eastAsia="zh-CN"/>
        </w:rPr>
        <w:t>河南省药品监督管理局</w:t>
      </w:r>
      <w:r>
        <w:rPr>
          <w:rFonts w:hint="eastAsia" w:ascii="仿宋_GB2312" w:hAnsi="宋体" w:eastAsia="仿宋_GB2312"/>
          <w:sz w:val="32"/>
          <w:szCs w:val="32"/>
        </w:rPr>
        <w:t>年度工作部署</w:t>
      </w:r>
      <w:r>
        <w:rPr>
          <w:rFonts w:hint="eastAsia" w:ascii="仿宋_GB2312" w:eastAsia="仿宋_GB2312"/>
          <w:sz w:val="32"/>
          <w:szCs w:val="32"/>
        </w:rPr>
        <w:t>要求，</w:t>
      </w:r>
      <w:r>
        <w:rPr>
          <w:rFonts w:hint="eastAsia" w:ascii="仿宋_GB2312" w:hAnsi="仿宋" w:eastAsia="仿宋_GB2312" w:cs="黑体"/>
          <w:sz w:val="32"/>
          <w:szCs w:val="32"/>
        </w:rPr>
        <w:t>结合我</w:t>
      </w:r>
      <w:r>
        <w:rPr>
          <w:rFonts w:hint="eastAsia" w:ascii="仿宋_GB2312" w:hAnsi="仿宋" w:eastAsia="仿宋_GB2312" w:cs="黑体"/>
          <w:sz w:val="32"/>
          <w:szCs w:val="32"/>
          <w:lang w:eastAsia="zh-CN"/>
        </w:rPr>
        <w:t>市</w:t>
      </w:r>
      <w:r>
        <w:rPr>
          <w:rFonts w:hint="eastAsia" w:ascii="仿宋_GB2312" w:hAnsi="仿宋" w:eastAsia="仿宋_GB2312" w:cs="黑体"/>
          <w:sz w:val="32"/>
          <w:szCs w:val="32"/>
        </w:rPr>
        <w:t>实际，</w:t>
      </w:r>
      <w:r>
        <w:rPr>
          <w:rFonts w:hint="eastAsia" w:ascii="仿宋_GB2312" w:hAnsi="宋体" w:eastAsia="仿宋_GB2312"/>
          <w:sz w:val="32"/>
          <w:szCs w:val="32"/>
        </w:rPr>
        <w:t>制定本</w:t>
      </w:r>
      <w:r>
        <w:rPr>
          <w:rFonts w:hint="eastAsia" w:ascii="仿宋_GB2312" w:hAnsi="宋体" w:eastAsia="仿宋_GB2312"/>
          <w:sz w:val="32"/>
          <w:szCs w:val="32"/>
          <w:lang w:eastAsia="zh-CN"/>
        </w:rPr>
        <w:t>工作</w:t>
      </w:r>
      <w:r>
        <w:rPr>
          <w:rFonts w:hint="eastAsia" w:ascii="仿宋_GB2312" w:hAnsi="宋体" w:eastAsia="仿宋_GB2312"/>
          <w:sz w:val="32"/>
          <w:szCs w:val="32"/>
        </w:rPr>
        <w:t>计划。</w:t>
      </w:r>
    </w:p>
    <w:p w14:paraId="4A2D0CB3">
      <w:pPr>
        <w:keepNext w:val="0"/>
        <w:keepLines w:val="0"/>
        <w:pageBreakBefore w:val="0"/>
        <w:widowControl w:val="0"/>
        <w:numPr>
          <w:ilvl w:val="0"/>
          <w:numId w:val="0"/>
        </w:numPr>
        <w:kinsoku/>
        <w:wordWrap/>
        <w:overflowPunct/>
        <w:topLinePunct w:val="0"/>
        <w:autoSpaceDE/>
        <w:autoSpaceDN/>
        <w:bidi w:val="0"/>
        <w:snapToGrid/>
        <w:spacing w:line="560" w:lineRule="exact"/>
        <w:ind w:firstLine="640" w:firstLineChars="200"/>
        <w:textAlignment w:val="auto"/>
        <w:outlineLvl w:val="9"/>
        <w:rPr>
          <w:rFonts w:ascii="黑体" w:hAnsi="黑体" w:eastAsia="黑体"/>
          <w:sz w:val="32"/>
          <w:szCs w:val="32"/>
        </w:rPr>
      </w:pPr>
      <w:r>
        <w:rPr>
          <w:rFonts w:hint="eastAsia" w:ascii="黑体" w:hAnsi="黑体" w:eastAsia="黑体"/>
          <w:sz w:val="32"/>
          <w:szCs w:val="32"/>
          <w:lang w:eastAsia="zh-CN"/>
        </w:rPr>
        <w:t>一、总体要求</w:t>
      </w:r>
    </w:p>
    <w:p w14:paraId="037A11DC">
      <w:pPr>
        <w:pStyle w:val="10"/>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eastAsia="仿宋_GB2312"/>
          <w:color w:val="auto"/>
          <w:sz w:val="32"/>
          <w:szCs w:val="32"/>
          <w:highlight w:val="none"/>
          <w:lang w:val="en-US" w:eastAsia="zh-CN"/>
        </w:rPr>
      </w:pPr>
      <w:r>
        <w:rPr>
          <w:rFonts w:ascii="Times New Roman" w:hAnsi="Times New Roman" w:eastAsia="仿宋_GB2312"/>
          <w:color w:val="auto"/>
          <w:sz w:val="32"/>
          <w:szCs w:val="32"/>
          <w:highlight w:val="none"/>
          <w:lang w:val="zh-TW"/>
        </w:rPr>
        <w:t>以习近平新时代中国特色社会主义思想为指导，</w:t>
      </w:r>
      <w:r>
        <w:rPr>
          <w:rFonts w:hint="eastAsia" w:ascii="Times New Roman" w:hAnsi="Times New Roman" w:eastAsia="仿宋_GB2312"/>
          <w:color w:val="auto"/>
          <w:sz w:val="32"/>
          <w:szCs w:val="32"/>
          <w:highlight w:val="none"/>
          <w:lang w:eastAsia="zh-CN"/>
        </w:rPr>
        <w:t>全面</w:t>
      </w:r>
      <w:r>
        <w:rPr>
          <w:rFonts w:ascii="Times New Roman" w:hAnsi="Times New Roman" w:eastAsia="仿宋_GB2312"/>
          <w:color w:val="auto"/>
          <w:sz w:val="32"/>
          <w:szCs w:val="32"/>
          <w:highlight w:val="none"/>
        </w:rPr>
        <w:t>贯彻</w:t>
      </w:r>
      <w:r>
        <w:rPr>
          <w:rFonts w:hint="eastAsia" w:ascii="Times New Roman" w:hAnsi="Times New Roman" w:eastAsia="仿宋_GB2312"/>
          <w:color w:val="auto"/>
          <w:sz w:val="32"/>
          <w:szCs w:val="32"/>
          <w:highlight w:val="none"/>
          <w:lang w:eastAsia="zh-CN"/>
        </w:rPr>
        <w:t>落实</w:t>
      </w:r>
      <w:r>
        <w:rPr>
          <w:rFonts w:ascii="Times New Roman" w:hAnsi="Times New Roman" w:eastAsia="仿宋_GB2312"/>
          <w:color w:val="auto"/>
          <w:sz w:val="32"/>
          <w:szCs w:val="32"/>
          <w:highlight w:val="none"/>
        </w:rPr>
        <w:t>党的</w:t>
      </w:r>
      <w:r>
        <w:rPr>
          <w:rFonts w:hint="eastAsia" w:ascii="Times New Roman" w:hAnsi="Times New Roman" w:eastAsia="仿宋_GB2312"/>
          <w:color w:val="auto"/>
          <w:sz w:val="32"/>
          <w:szCs w:val="32"/>
          <w:highlight w:val="none"/>
          <w:lang w:eastAsia="zh-CN"/>
        </w:rPr>
        <w:t>二十大和二十届历次全会</w:t>
      </w:r>
      <w:r>
        <w:rPr>
          <w:rFonts w:ascii="Times New Roman" w:hAnsi="Times New Roman" w:eastAsia="仿宋_GB2312"/>
          <w:color w:val="auto"/>
          <w:sz w:val="32"/>
          <w:szCs w:val="32"/>
          <w:highlight w:val="none"/>
        </w:rPr>
        <w:t>精神，</w:t>
      </w:r>
      <w:r>
        <w:rPr>
          <w:rFonts w:hint="eastAsia" w:ascii="Times New Roman" w:hAnsi="Times New Roman" w:eastAsia="仿宋_GB2312"/>
          <w:color w:val="auto"/>
          <w:sz w:val="32"/>
          <w:szCs w:val="32"/>
          <w:highlight w:val="none"/>
          <w:lang w:eastAsia="zh-CN"/>
        </w:rPr>
        <w:t>认真落实“四个最严”要求，按照“讲政治、强监管、保安全、促发展、惠民生”总体思路，</w:t>
      </w:r>
      <w:r>
        <w:rPr>
          <w:rFonts w:hint="eastAsia" w:ascii="Times New Roman" w:hAnsi="Times New Roman" w:eastAsia="仿宋_GB2312"/>
          <w:color w:val="auto"/>
          <w:sz w:val="32"/>
          <w:szCs w:val="32"/>
          <w:highlight w:val="none"/>
          <w:lang w:val="en-US" w:eastAsia="zh-CN"/>
        </w:rPr>
        <w:t>坚持稳中求进、提质增效，着力统筹发展和安全、效率和公平、活力和秩序、监管和服务，积极打造医疗器械安全治理新格局，全方位筑牢医疗器械安全底线，全链条支持医疗器械产业高质量发展。</w:t>
      </w:r>
    </w:p>
    <w:p w14:paraId="7D71BEE2">
      <w:pPr>
        <w:pStyle w:val="10"/>
        <w:numPr>
          <w:ilvl w:val="0"/>
          <w:numId w:val="1"/>
        </w:numPr>
        <w:spacing w:after="0" w:line="540" w:lineRule="exact"/>
        <w:ind w:left="0" w:leftChars="0" w:firstLine="640"/>
        <w:rPr>
          <w:rFonts w:hint="eastAsia" w:ascii="黑体" w:hAnsi="黑体" w:eastAsia="黑体"/>
          <w:sz w:val="32"/>
          <w:szCs w:val="32"/>
          <w:lang w:eastAsia="zh-CN"/>
        </w:rPr>
      </w:pPr>
      <w:r>
        <w:rPr>
          <w:rFonts w:hint="eastAsia" w:ascii="黑体" w:hAnsi="黑体" w:eastAsia="黑体"/>
          <w:sz w:val="32"/>
          <w:szCs w:val="32"/>
          <w:lang w:eastAsia="zh-CN"/>
        </w:rPr>
        <w:t>工作分工</w:t>
      </w:r>
    </w:p>
    <w:p w14:paraId="6B7DBB4B">
      <w:pPr>
        <w:pStyle w:val="10"/>
        <w:numPr>
          <w:ilvl w:val="0"/>
          <w:numId w:val="0"/>
        </w:numPr>
        <w:spacing w:after="0" w:line="540" w:lineRule="exact"/>
        <w:ind w:left="640" w:leftChars="0"/>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（一）市市场监督管理局</w:t>
      </w:r>
    </w:p>
    <w:p w14:paraId="318B7201">
      <w:pPr>
        <w:pStyle w:val="10"/>
        <w:spacing w:after="0" w:line="540" w:lineRule="exact"/>
        <w:ind w:left="0" w:leftChars="0" w:firstLine="640" w:firstLineChars="200"/>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sz w:val="32"/>
          <w:szCs w:val="32"/>
          <w:lang w:val="en-US" w:eastAsia="zh-CN"/>
        </w:rPr>
        <w:t>组织实施市本级医疗器械经营使用环节监督管理工作；落实《医疗器械生产质量管理规范》</w:t>
      </w:r>
      <w:r>
        <w:rPr>
          <w:rFonts w:hint="eastAsia" w:ascii="仿宋_GB2312" w:hAnsi="仿宋_GB2312" w:eastAsia="仿宋_GB2312" w:cs="仿宋_GB2312"/>
          <w:sz w:val="32"/>
          <w:szCs w:val="32"/>
          <w:lang w:eastAsia="zh-CN"/>
        </w:rPr>
        <w:t>《医疗器械经营质量管理规范》</w:t>
      </w:r>
      <w:r>
        <w:rPr>
          <w:rFonts w:hint="eastAsia" w:ascii="仿宋_GB2312" w:hAnsi="仿宋_GB2312" w:eastAsia="仿宋_GB2312" w:cs="仿宋_GB2312"/>
          <w:sz w:val="32"/>
          <w:szCs w:val="32"/>
          <w:lang w:val="en-US" w:eastAsia="zh-CN"/>
        </w:rPr>
        <w:t>《医疗</w:t>
      </w:r>
      <w:r>
        <w:rPr>
          <w:rFonts w:hint="eastAsia" w:ascii="仿宋_GB2312" w:hAnsi="仿宋_GB2312" w:eastAsia="仿宋_GB2312" w:cs="仿宋_GB2312"/>
          <w:sz w:val="32"/>
          <w:szCs w:val="32"/>
          <w:lang w:eastAsia="zh-CN"/>
        </w:rPr>
        <w:t>器械使用质量监督管理办法》《医疗器械网络销售质量管理规范》等法规规章及规范性文件实施工作；</w:t>
      </w:r>
      <w:r>
        <w:rPr>
          <w:rFonts w:hint="eastAsia" w:ascii="仿宋_GB2312" w:eastAsia="仿宋_GB2312"/>
          <w:sz w:val="32"/>
          <w:szCs w:val="32"/>
          <w:lang w:eastAsia="zh-CN"/>
        </w:rPr>
        <w:t>组织</w:t>
      </w:r>
      <w:r>
        <w:rPr>
          <w:rFonts w:ascii="仿宋_GB2312" w:hAnsi="仿宋_GB2312" w:eastAsia="仿宋_GB2312" w:cs="仿宋_GB2312"/>
          <w:b w:val="0"/>
          <w:i w:val="0"/>
          <w:color w:val="000000"/>
          <w:sz w:val="32"/>
          <w:szCs w:val="32"/>
        </w:rPr>
        <w:t>开展</w:t>
      </w:r>
      <w:r>
        <w:rPr>
          <w:rFonts w:hint="eastAsia" w:ascii="仿宋_GB2312" w:hAnsi="仿宋_GB2312" w:eastAsia="仿宋_GB2312" w:cs="仿宋_GB2312"/>
          <w:b w:val="0"/>
          <w:i w:val="0"/>
          <w:color w:val="000000"/>
          <w:sz w:val="32"/>
          <w:szCs w:val="32"/>
          <w:lang w:eastAsia="zh-CN"/>
        </w:rPr>
        <w:t>各类</w:t>
      </w:r>
      <w:r>
        <w:rPr>
          <w:rFonts w:ascii="仿宋_GB2312" w:hAnsi="仿宋_GB2312" w:eastAsia="仿宋_GB2312" w:cs="仿宋_GB2312"/>
          <w:b w:val="0"/>
          <w:i w:val="0"/>
          <w:color w:val="000000"/>
          <w:sz w:val="32"/>
          <w:szCs w:val="32"/>
        </w:rPr>
        <w:t>专项</w:t>
      </w:r>
      <w:r>
        <w:rPr>
          <w:rFonts w:hint="eastAsia" w:ascii="仿宋_GB2312" w:hAnsi="仿宋_GB2312" w:eastAsia="仿宋_GB2312" w:cs="仿宋_GB2312"/>
          <w:b w:val="0"/>
          <w:i w:val="0"/>
          <w:color w:val="000000"/>
          <w:sz w:val="32"/>
          <w:szCs w:val="32"/>
          <w:lang w:eastAsia="zh-CN"/>
        </w:rPr>
        <w:t>治理行动；</w:t>
      </w:r>
      <w:r>
        <w:rPr>
          <w:rFonts w:hint="eastAsia" w:ascii="仿宋_GB2312" w:hAnsi="仿宋_GB2312" w:eastAsia="仿宋_GB2312" w:cs="仿宋_GB2312"/>
          <w:sz w:val="32"/>
          <w:szCs w:val="32"/>
          <w:lang w:val="en-US" w:eastAsia="zh-CN"/>
        </w:rPr>
        <w:t>定期开展风险会商；指导县（市、分）局开展医疗器械经营使用环节监督管理工作；持续做好医疗器械行政许可和各类备案工作；</w:t>
      </w:r>
      <w:r>
        <w:rPr>
          <w:rFonts w:hint="eastAsia" w:ascii="仿宋_GB2312" w:eastAsia="仿宋_GB2312"/>
          <w:kern w:val="0"/>
          <w:sz w:val="32"/>
          <w:szCs w:val="32"/>
          <w:lang w:eastAsia="zh-CN"/>
        </w:rPr>
        <w:t>完成省市局交办的各项临时性工作任务</w:t>
      </w:r>
      <w:r>
        <w:rPr>
          <w:rFonts w:hint="eastAsia" w:ascii="仿宋_GB2312" w:hAnsi="仿宋_GB2312" w:eastAsia="仿宋_GB2312" w:cs="仿宋_GB2312"/>
          <w:color w:val="000000"/>
          <w:kern w:val="0"/>
          <w:sz w:val="32"/>
          <w:szCs w:val="32"/>
          <w:lang w:val="en-US" w:eastAsia="zh-CN"/>
        </w:rPr>
        <w:t>。</w:t>
      </w:r>
    </w:p>
    <w:p w14:paraId="70C05660">
      <w:pPr>
        <w:pStyle w:val="10"/>
        <w:keepNext w:val="0"/>
        <w:keepLines w:val="0"/>
        <w:pageBreakBefore w:val="0"/>
        <w:kinsoku/>
        <w:wordWrap/>
        <w:overflowPunct/>
        <w:topLinePunct w:val="0"/>
        <w:autoSpaceDE/>
        <w:autoSpaceDN/>
        <w:bidi w:val="0"/>
        <w:snapToGrid/>
        <w:spacing w:after="0" w:line="560" w:lineRule="exact"/>
        <w:ind w:left="0" w:leftChars="0" w:firstLine="64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（二）各县（市）市场监督管理局，市局直属各分局</w:t>
      </w:r>
    </w:p>
    <w:p w14:paraId="09239828">
      <w:pPr>
        <w:pStyle w:val="5"/>
        <w:keepNext w:val="0"/>
        <w:keepLines w:val="0"/>
        <w:pageBreakBefore w:val="0"/>
        <w:widowControl w:val="0"/>
        <w:kinsoku/>
        <w:wordWrap/>
        <w:overflowPunct/>
        <w:topLinePunct w:val="0"/>
        <w:autoSpaceDE/>
        <w:autoSpaceDN/>
        <w:bidi w:val="0"/>
        <w:snapToGrid/>
        <w:spacing w:line="560" w:lineRule="exact"/>
        <w:ind w:firstLine="627" w:firstLineChars="196"/>
        <w:textAlignment w:val="auto"/>
        <w:outlineLvl w:val="9"/>
        <w:rPr>
          <w:rFonts w:hint="eastAsia" w:ascii="仿宋_GB2312" w:hAnsi="Courier New" w:eastAsia="仿宋_GB2312" w:cs="Courier New"/>
          <w:b w:val="0"/>
          <w:bCs w:val="0"/>
          <w:kern w:val="2"/>
          <w:sz w:val="32"/>
          <w:szCs w:val="32"/>
          <w:u w:val="none"/>
          <w:lang w:val="en-US" w:eastAsia="zh-CN" w:bidi="ar-SA"/>
        </w:rPr>
      </w:pPr>
      <w:r>
        <w:rPr>
          <w:rFonts w:hint="eastAsia" w:ascii="仿宋_GB2312" w:hAnsi="ˎ̥" w:eastAsia="仿宋_GB2312" w:cs="Arial"/>
          <w:kern w:val="0"/>
          <w:sz w:val="32"/>
          <w:szCs w:val="32"/>
          <w:lang w:eastAsia="zh-CN"/>
        </w:rPr>
        <w:t>结合辖区实际，制定年度监督检查计划；</w:t>
      </w:r>
      <w:r>
        <w:rPr>
          <w:rFonts w:hint="eastAsia" w:ascii="仿宋_GB2312" w:hAnsi="ˎ̥" w:eastAsia="仿宋_GB2312" w:cs="Arial"/>
          <w:kern w:val="0"/>
          <w:sz w:val="32"/>
          <w:szCs w:val="32"/>
        </w:rPr>
        <w:t>开展医疗器械</w:t>
      </w:r>
      <w:r>
        <w:rPr>
          <w:rFonts w:hint="eastAsia" w:ascii="仿宋_GB2312" w:hAnsi="ˎ̥" w:eastAsia="仿宋_GB2312" w:cs="Arial"/>
          <w:kern w:val="0"/>
          <w:sz w:val="32"/>
          <w:szCs w:val="32"/>
          <w:lang w:eastAsia="zh-CN"/>
        </w:rPr>
        <w:t>生产（一类）</w:t>
      </w:r>
      <w:r>
        <w:rPr>
          <w:rFonts w:hint="eastAsia" w:ascii="仿宋_GB2312" w:hAnsi="ˎ̥" w:eastAsia="仿宋_GB2312" w:cs="Arial"/>
          <w:kern w:val="0"/>
          <w:sz w:val="32"/>
          <w:szCs w:val="32"/>
        </w:rPr>
        <w:t>经营</w:t>
      </w:r>
      <w:r>
        <w:rPr>
          <w:rFonts w:hint="eastAsia" w:ascii="仿宋_GB2312" w:hAnsi="ˎ̥" w:eastAsia="仿宋_GB2312" w:cs="Arial"/>
          <w:kern w:val="0"/>
          <w:sz w:val="32"/>
          <w:szCs w:val="32"/>
          <w:lang w:eastAsia="zh-CN"/>
        </w:rPr>
        <w:t>企业</w:t>
      </w:r>
      <w:r>
        <w:rPr>
          <w:rFonts w:hint="eastAsia" w:ascii="仿宋_GB2312" w:hAnsi="ˎ̥" w:eastAsia="仿宋_GB2312" w:cs="Arial"/>
          <w:kern w:val="0"/>
          <w:sz w:val="32"/>
          <w:szCs w:val="32"/>
        </w:rPr>
        <w:t>分级监管工作</w:t>
      </w:r>
      <w:r>
        <w:rPr>
          <w:rFonts w:hint="eastAsia" w:ascii="仿宋_GB2312" w:hAnsi="ˎ̥" w:eastAsia="仿宋_GB2312" w:cs="Arial"/>
          <w:kern w:val="0"/>
          <w:sz w:val="32"/>
          <w:szCs w:val="32"/>
          <w:lang w:val="en-US" w:eastAsia="zh-CN"/>
        </w:rPr>
        <w:t>；</w:t>
      </w:r>
      <w:r>
        <w:rPr>
          <w:rFonts w:hint="eastAsia" w:ascii="仿宋_GB2312" w:hAnsi="ˎ̥" w:eastAsia="仿宋_GB2312" w:cs="Arial"/>
          <w:kern w:val="0"/>
          <w:sz w:val="32"/>
          <w:szCs w:val="32"/>
          <w:lang w:eastAsia="zh-CN"/>
        </w:rPr>
        <w:t>做好经营使用监管信息档案的建立和更新工作；</w:t>
      </w:r>
      <w:r>
        <w:rPr>
          <w:rFonts w:hint="eastAsia" w:ascii="仿宋_GB2312" w:hAnsi="ˎ̥" w:eastAsia="仿宋_GB2312" w:cs="Arial"/>
          <w:kern w:val="0"/>
          <w:sz w:val="32"/>
          <w:szCs w:val="32"/>
        </w:rPr>
        <w:t>督促</w:t>
      </w:r>
      <w:r>
        <w:rPr>
          <w:rFonts w:hint="eastAsia" w:ascii="仿宋_GB2312" w:hAnsi="ˎ̥" w:eastAsia="仿宋_GB2312" w:cs="Arial"/>
          <w:kern w:val="0"/>
          <w:sz w:val="32"/>
          <w:szCs w:val="32"/>
          <w:lang w:eastAsia="zh-CN"/>
        </w:rPr>
        <w:t>辖区</w:t>
      </w:r>
      <w:r>
        <w:rPr>
          <w:rFonts w:hint="eastAsia" w:ascii="仿宋_GB2312" w:hAnsi="ˎ̥" w:eastAsia="仿宋_GB2312" w:cs="Arial"/>
          <w:kern w:val="0"/>
          <w:sz w:val="32"/>
          <w:szCs w:val="32"/>
        </w:rPr>
        <w:t>企业（单位）落实</w:t>
      </w:r>
      <w:r>
        <w:rPr>
          <w:rFonts w:hint="eastAsia" w:ascii="仿宋_GB2312" w:hAnsi="ˎ̥" w:eastAsia="仿宋_GB2312" w:cs="Arial"/>
          <w:kern w:val="0"/>
          <w:sz w:val="32"/>
          <w:szCs w:val="32"/>
          <w:lang w:eastAsia="zh-CN"/>
        </w:rPr>
        <w:t>质量管理</w:t>
      </w:r>
      <w:r>
        <w:rPr>
          <w:rFonts w:hint="eastAsia" w:ascii="仿宋_GB2312" w:hAnsi="ˎ̥" w:eastAsia="仿宋_GB2312" w:cs="Arial"/>
          <w:kern w:val="0"/>
          <w:sz w:val="32"/>
          <w:szCs w:val="32"/>
        </w:rPr>
        <w:t>主体责任</w:t>
      </w:r>
      <w:r>
        <w:rPr>
          <w:rFonts w:hint="eastAsia" w:ascii="仿宋_GB2312" w:hAnsi="ˎ̥" w:eastAsia="仿宋_GB2312" w:cs="Arial"/>
          <w:kern w:val="0"/>
          <w:sz w:val="32"/>
          <w:szCs w:val="32"/>
          <w:lang w:eastAsia="zh-CN"/>
        </w:rPr>
        <w:t>；</w:t>
      </w:r>
      <w:r>
        <w:rPr>
          <w:rFonts w:hint="eastAsia" w:ascii="仿宋_GB2312" w:hAnsi="仿宋_GB2312" w:eastAsia="仿宋_GB2312" w:cs="仿宋_GB2312"/>
          <w:color w:val="000000"/>
          <w:kern w:val="0"/>
          <w:sz w:val="32"/>
          <w:szCs w:val="32"/>
          <w:lang w:val="en-US" w:eastAsia="zh-CN"/>
        </w:rPr>
        <w:t>每季度召开一次风险会商</w:t>
      </w:r>
      <w:r>
        <w:rPr>
          <w:rFonts w:hint="eastAsia" w:ascii="仿宋_GB2312" w:eastAsia="仿宋_GB2312"/>
          <w:color w:val="auto"/>
          <w:sz w:val="32"/>
          <w:szCs w:val="32"/>
          <w:highlight w:val="none"/>
          <w:lang w:val="en-US" w:eastAsia="zh-CN"/>
        </w:rPr>
        <w:t>；开展医疗器械法规的贯彻落实工作；加大跨部门综合监管力度；配合完成飞行检查、监督抽检、不良事件上报等工作；</w:t>
      </w:r>
      <w:r>
        <w:rPr>
          <w:rFonts w:hint="eastAsia" w:ascii="仿宋_GB2312" w:hAnsi="Courier New" w:eastAsia="仿宋_GB2312" w:cs="Courier New"/>
          <w:b w:val="0"/>
          <w:bCs w:val="0"/>
          <w:kern w:val="2"/>
          <w:sz w:val="32"/>
          <w:szCs w:val="32"/>
          <w:u w:val="none"/>
          <w:lang w:val="en-US" w:eastAsia="zh-CN" w:bidi="ar-SA"/>
        </w:rPr>
        <w:t>完成市局交办的的行政许可</w:t>
      </w:r>
      <w:r>
        <w:rPr>
          <w:rFonts w:hint="eastAsia" w:ascii="仿宋_GB2312" w:eastAsia="仿宋_GB2312" w:cs="Courier New"/>
          <w:b w:val="0"/>
          <w:bCs w:val="0"/>
          <w:kern w:val="2"/>
          <w:sz w:val="32"/>
          <w:szCs w:val="32"/>
          <w:u w:val="none"/>
          <w:lang w:val="en-US" w:eastAsia="zh-CN" w:bidi="ar-SA"/>
        </w:rPr>
        <w:t>现场</w:t>
      </w:r>
      <w:r>
        <w:rPr>
          <w:rFonts w:hint="eastAsia" w:ascii="仿宋_GB2312" w:hAnsi="Courier New" w:eastAsia="仿宋_GB2312" w:cs="Courier New"/>
          <w:b w:val="0"/>
          <w:bCs w:val="0"/>
          <w:kern w:val="2"/>
          <w:sz w:val="32"/>
          <w:szCs w:val="32"/>
          <w:u w:val="none"/>
          <w:lang w:val="en-US" w:eastAsia="zh-CN" w:bidi="ar-SA"/>
        </w:rPr>
        <w:t>核查</w:t>
      </w:r>
      <w:r>
        <w:rPr>
          <w:rFonts w:hint="eastAsia" w:ascii="仿宋_GB2312" w:eastAsia="仿宋_GB2312" w:cs="Courier New"/>
          <w:b w:val="0"/>
          <w:bCs w:val="0"/>
          <w:kern w:val="2"/>
          <w:sz w:val="32"/>
          <w:szCs w:val="32"/>
          <w:u w:val="none"/>
          <w:lang w:val="en-US" w:eastAsia="zh-CN" w:bidi="ar-SA"/>
        </w:rPr>
        <w:t>、</w:t>
      </w:r>
      <w:r>
        <w:rPr>
          <w:rFonts w:hint="eastAsia" w:ascii="仿宋_GB2312" w:hAnsi="Courier New" w:eastAsia="仿宋_GB2312" w:cs="Courier New"/>
          <w:b w:val="0"/>
          <w:bCs w:val="0"/>
          <w:kern w:val="2"/>
          <w:sz w:val="32"/>
          <w:szCs w:val="32"/>
          <w:u w:val="none"/>
          <w:lang w:val="en-US" w:eastAsia="zh-CN" w:bidi="ar-SA"/>
        </w:rPr>
        <w:t>备案后</w:t>
      </w:r>
      <w:r>
        <w:rPr>
          <w:rFonts w:hint="eastAsia" w:ascii="仿宋_GB2312" w:eastAsia="仿宋_GB2312" w:cs="Courier New"/>
          <w:b w:val="0"/>
          <w:bCs w:val="0"/>
          <w:kern w:val="2"/>
          <w:sz w:val="32"/>
          <w:szCs w:val="32"/>
          <w:u w:val="none"/>
          <w:lang w:val="en-US" w:eastAsia="zh-CN" w:bidi="ar-SA"/>
        </w:rPr>
        <w:t>检查以及其它各项临时性</w:t>
      </w:r>
      <w:r>
        <w:rPr>
          <w:rFonts w:hint="eastAsia" w:ascii="仿宋_GB2312" w:hAnsi="Courier New" w:eastAsia="仿宋_GB2312" w:cs="Courier New"/>
          <w:b w:val="0"/>
          <w:bCs w:val="0"/>
          <w:kern w:val="2"/>
          <w:sz w:val="32"/>
          <w:szCs w:val="32"/>
          <w:u w:val="none"/>
          <w:lang w:val="en-US" w:eastAsia="zh-CN" w:bidi="ar-SA"/>
        </w:rPr>
        <w:t>工作任务。</w:t>
      </w:r>
    </w:p>
    <w:p w14:paraId="7B8074D8">
      <w:pPr>
        <w:pStyle w:val="10"/>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黑体" w:hAnsi="黑体" w:eastAsia="黑体"/>
          <w:sz w:val="32"/>
          <w:szCs w:val="32"/>
          <w:lang w:eastAsia="zh-CN"/>
        </w:rPr>
      </w:pPr>
      <w:r>
        <w:rPr>
          <w:rFonts w:hint="eastAsia" w:ascii="黑体" w:hAnsi="黑体" w:eastAsia="黑体"/>
          <w:sz w:val="32"/>
          <w:szCs w:val="32"/>
          <w:lang w:val="en-US" w:eastAsia="zh-CN"/>
        </w:rPr>
        <w:t>三</w:t>
      </w:r>
      <w:r>
        <w:rPr>
          <w:rFonts w:hint="eastAsia" w:ascii="黑体" w:hAnsi="黑体" w:eastAsia="黑体"/>
          <w:sz w:val="32"/>
          <w:szCs w:val="32"/>
          <w:lang w:eastAsia="zh-CN"/>
        </w:rPr>
        <w:t>、重点工作</w:t>
      </w:r>
    </w:p>
    <w:p w14:paraId="5DE3FD95">
      <w:pPr>
        <w:pStyle w:val="10"/>
        <w:keepNext w:val="0"/>
        <w:keepLines w:val="0"/>
        <w:pageBreakBefore w:val="0"/>
        <w:kinsoku/>
        <w:wordWrap/>
        <w:overflowPunct/>
        <w:topLinePunct w:val="0"/>
        <w:autoSpaceDE/>
        <w:autoSpaceDN/>
        <w:bidi w:val="0"/>
        <w:snapToGrid/>
        <w:spacing w:after="0" w:line="560" w:lineRule="exact"/>
        <w:ind w:left="0" w:leftChars="0" w:firstLine="64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（一）加强生产环节（一类）监督管理</w:t>
      </w:r>
    </w:p>
    <w:p w14:paraId="14DBCAF0">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1.加强监督检查。</w:t>
      </w:r>
      <w:r>
        <w:rPr>
          <w:rFonts w:hint="eastAsia" w:ascii="仿宋_GB2312" w:hAnsi="仿宋_GB2312" w:eastAsia="仿宋_GB2312" w:cs="仿宋_GB2312"/>
          <w:color w:val="000000"/>
          <w:kern w:val="0"/>
          <w:sz w:val="32"/>
          <w:szCs w:val="32"/>
          <w:lang w:val="en-US" w:eastAsia="zh-CN" w:bidi="ar"/>
        </w:rPr>
        <w:t>对辖区医疗器械生产企业开展全覆盖监督检查，并对新增第一类医疗器械生产企业在生产备案之日起3个月内开展现场检查，必要时对生产地址变更或者生产范围增加的第一类医疗器械生产企业进行现场核查</w:t>
      </w:r>
      <w:r>
        <w:rPr>
          <w:rFonts w:ascii="仿宋_GB2312" w:hAnsi="仿宋_GB2312" w:eastAsia="仿宋_GB2312" w:cs="仿宋_GB2312"/>
          <w:color w:val="000000"/>
          <w:kern w:val="0"/>
          <w:sz w:val="32"/>
          <w:szCs w:val="32"/>
          <w:lang w:val="en-US" w:eastAsia="zh-CN" w:bidi="ar"/>
        </w:rPr>
        <w:t>。</w:t>
      </w:r>
    </w:p>
    <w:p w14:paraId="4206BC02">
      <w:pPr>
        <w:keepNext w:val="0"/>
        <w:keepLines w:val="0"/>
        <w:widowControl/>
        <w:suppressLineNumbers w:val="0"/>
        <w:ind w:firstLine="643" w:firstLineChars="200"/>
        <w:jc w:val="left"/>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2.强化重点产品监管。</w:t>
      </w:r>
      <w:r>
        <w:rPr>
          <w:rFonts w:hint="eastAsia" w:ascii="仿宋_GB2312" w:hAnsi="仿宋_GB2312" w:eastAsia="仿宋_GB2312" w:cs="仿宋_GB2312"/>
          <w:color w:val="000000"/>
          <w:kern w:val="0"/>
          <w:sz w:val="32"/>
          <w:szCs w:val="32"/>
          <w:lang w:val="en-US" w:eastAsia="zh-CN" w:bidi="ar"/>
        </w:rPr>
        <w:t>加大</w:t>
      </w:r>
      <w:r>
        <w:rPr>
          <w:rFonts w:ascii="仿宋_GB2312" w:hAnsi="仿宋_GB2312" w:eastAsia="仿宋_GB2312" w:cs="仿宋_GB2312"/>
          <w:color w:val="000000"/>
          <w:kern w:val="0"/>
          <w:sz w:val="32"/>
          <w:szCs w:val="32"/>
          <w:lang w:val="en-US" w:eastAsia="zh-CN" w:bidi="ar"/>
        </w:rPr>
        <w:t>对贴敷类</w:t>
      </w:r>
      <w:r>
        <w:rPr>
          <w:rFonts w:hint="eastAsia" w:ascii="仿宋_GB2312" w:hAnsi="仿宋_GB2312" w:eastAsia="仿宋_GB2312" w:cs="仿宋_GB2312"/>
          <w:color w:val="000000"/>
          <w:kern w:val="0"/>
          <w:sz w:val="32"/>
          <w:szCs w:val="32"/>
          <w:lang w:val="en-US" w:eastAsia="zh-CN" w:bidi="ar"/>
        </w:rPr>
        <w:t>、医用耗材产品</w:t>
      </w:r>
      <w:r>
        <w:rPr>
          <w:rFonts w:ascii="仿宋_GB2312" w:hAnsi="仿宋_GB2312" w:eastAsia="仿宋_GB2312" w:cs="仿宋_GB2312"/>
          <w:color w:val="000000"/>
          <w:kern w:val="0"/>
          <w:sz w:val="32"/>
          <w:szCs w:val="32"/>
          <w:lang w:val="en-US" w:eastAsia="zh-CN" w:bidi="ar"/>
        </w:rPr>
        <w:t>等社会关注度较高的</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容易</w:t>
      </w:r>
      <w:r>
        <w:rPr>
          <w:rFonts w:hint="eastAsia" w:ascii="仿宋_GB2312" w:hAnsi="仿宋_GB2312" w:eastAsia="仿宋_GB2312" w:cs="仿宋_GB2312"/>
          <w:color w:val="000000"/>
          <w:kern w:val="0"/>
          <w:sz w:val="32"/>
          <w:szCs w:val="32"/>
          <w:lang w:val="en-US" w:eastAsia="zh-CN" w:bidi="ar"/>
        </w:rPr>
        <w:t>引发舆情</w:t>
      </w:r>
      <w:r>
        <w:rPr>
          <w:rFonts w:ascii="仿宋_GB2312" w:hAnsi="仿宋_GB2312" w:eastAsia="仿宋_GB2312" w:cs="仿宋_GB2312"/>
          <w:color w:val="000000"/>
          <w:kern w:val="0"/>
          <w:sz w:val="32"/>
          <w:szCs w:val="32"/>
          <w:lang w:val="en-US" w:eastAsia="zh-CN" w:bidi="ar"/>
        </w:rPr>
        <w:t>产品的检查力度</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强化风险排查与质量管控，严厉打击违法违规行为，及时回应社会关切，切实防范不实</w:t>
      </w:r>
      <w:r>
        <w:rPr>
          <w:rFonts w:hint="eastAsia" w:ascii="仿宋_GB2312" w:hAnsi="仿宋_GB2312" w:eastAsia="仿宋_GB2312" w:cs="仿宋_GB2312"/>
          <w:color w:val="000000"/>
          <w:kern w:val="0"/>
          <w:sz w:val="32"/>
          <w:szCs w:val="32"/>
          <w:lang w:val="en-US" w:eastAsia="zh-CN" w:bidi="ar"/>
        </w:rPr>
        <w:t>舆情</w:t>
      </w:r>
      <w:r>
        <w:rPr>
          <w:rFonts w:ascii="仿宋_GB2312" w:hAnsi="仿宋_GB2312" w:eastAsia="仿宋_GB2312" w:cs="仿宋_GB2312"/>
          <w:color w:val="000000"/>
          <w:kern w:val="0"/>
          <w:sz w:val="32"/>
          <w:szCs w:val="32"/>
          <w:lang w:val="en-US" w:eastAsia="zh-CN" w:bidi="ar"/>
        </w:rPr>
        <w:t>带来的市场乱象。</w:t>
      </w:r>
    </w:p>
    <w:p w14:paraId="0B210C28">
      <w:pPr>
        <w:keepNext w:val="0"/>
        <w:keepLines w:val="0"/>
        <w:widowControl/>
        <w:suppressLineNumbers w:val="0"/>
        <w:ind w:firstLine="643"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3.聚焦重点环节监管。</w:t>
      </w:r>
      <w:r>
        <w:rPr>
          <w:rFonts w:hint="eastAsia" w:ascii="仿宋_GB2312" w:hAnsi="仿宋_GB2312" w:eastAsia="仿宋_GB2312" w:cs="仿宋_GB2312"/>
          <w:color w:val="000000"/>
          <w:kern w:val="0"/>
          <w:sz w:val="32"/>
          <w:szCs w:val="32"/>
          <w:lang w:val="en-US" w:eastAsia="zh-CN" w:bidi="ar"/>
        </w:rPr>
        <w:t>加强对医疗器械备案人委托生产监管，全面掌握委托企业和产品情况，督促医疗器械备案人按照《医疗器械委托生产质量协议编制指南》要求与受托生产企业签订质量协议并及时上报委托生产产品情况，压实医疗器备案人主体责任，加强跨区域协同监管。</w:t>
      </w:r>
    </w:p>
    <w:p w14:paraId="2C9CE92B">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4.落实上市后各项监管职责。</w:t>
      </w:r>
      <w:r>
        <w:rPr>
          <w:rFonts w:hint="eastAsia" w:ascii="仿宋_GB2312" w:hAnsi="仿宋_GB2312" w:eastAsia="仿宋_GB2312" w:cs="仿宋_GB2312"/>
          <w:color w:val="000000"/>
          <w:kern w:val="0"/>
          <w:sz w:val="32"/>
          <w:szCs w:val="32"/>
          <w:lang w:val="en-US" w:eastAsia="zh-CN" w:bidi="ar"/>
        </w:rPr>
        <w:t>督促指导辖区内医疗器械备案人和生产企业按照《医疗器械质量管理体系自查报告编写指南》按时提交</w:t>
      </w:r>
      <w:r>
        <w:rPr>
          <w:rFonts w:hint="eastAsia" w:ascii="Times New Roman" w:hAnsi="Times New Roman" w:eastAsia="仿宋_GB2312" w:cs="Times New Roman"/>
          <w:sz w:val="32"/>
          <w:szCs w:val="32"/>
          <w:lang w:val="en-US" w:eastAsia="zh-CN"/>
        </w:rPr>
        <w:t>2025</w:t>
      </w:r>
      <w:r>
        <w:rPr>
          <w:rFonts w:hint="eastAsia" w:ascii="仿宋_GB2312" w:hAnsi="仿宋_GB2312" w:eastAsia="仿宋_GB2312" w:cs="仿宋_GB2312"/>
          <w:color w:val="000000"/>
          <w:kern w:val="0"/>
          <w:sz w:val="32"/>
          <w:szCs w:val="32"/>
          <w:lang w:val="en-US" w:eastAsia="zh-CN" w:bidi="ar"/>
        </w:rPr>
        <w:t>年度自查报告。同时，严格执行生产备案现场核查要求，强化备案资料与实际生产条件、生产工艺的实质性核对，重点核查备案产品技术要求、预期用途与生产线实际产出产品的一致性，从生产源头杜绝高类低备、非械备械、备案与生产“两张皮”等问题。强化部门联动，协同查处生产环节借一类医疗器械备案名义生产非械产品的违法犯罪行为。</w:t>
      </w:r>
    </w:p>
    <w:p w14:paraId="3F849ADA">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5.</w:t>
      </w:r>
      <w:r>
        <w:rPr>
          <w:rFonts w:ascii="仿宋_GB2312" w:hAnsi="仿宋_GB2312" w:eastAsia="仿宋_GB2312" w:cs="仿宋_GB2312"/>
          <w:b/>
          <w:bCs/>
          <w:color w:val="000000"/>
          <w:kern w:val="0"/>
          <w:sz w:val="32"/>
          <w:szCs w:val="32"/>
          <w:lang w:val="en-US" w:eastAsia="zh-CN" w:bidi="ar"/>
        </w:rPr>
        <w:t>做好不良事件监测工作</w:t>
      </w:r>
      <w:r>
        <w:rPr>
          <w:rFonts w:hint="eastAsia" w:ascii="仿宋_GB2312" w:hAnsi="仿宋_GB2312" w:eastAsia="仿宋_GB2312" w:cs="仿宋_GB2312"/>
          <w:b/>
          <w:bCs/>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强化医疗器械不良事件监测，指导和督促备案人落实主体责任，持续提升警戒工作技术性和风险管控能力。</w:t>
      </w:r>
      <w:r>
        <w:rPr>
          <w:rFonts w:ascii="仿宋_GB2312" w:hAnsi="仿宋_GB2312" w:eastAsia="仿宋_GB2312" w:cs="仿宋_GB2312"/>
          <w:color w:val="000000"/>
          <w:kern w:val="0"/>
          <w:sz w:val="32"/>
          <w:szCs w:val="32"/>
          <w:lang w:val="en-US" w:eastAsia="zh-CN" w:bidi="ar"/>
        </w:rPr>
        <w:t>针对医疗器械不良事件监测、新闻舆情等涉及的医疗器械产品质量突发事件，对企业开展调查和检查，并及时反馈上报相关情况。</w:t>
      </w:r>
    </w:p>
    <w:p w14:paraId="0E38DC52">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楷体_GB2312" w:hAnsi="Courier New" w:eastAsia="楷体_GB2312" w:cs="Courier New"/>
          <w:color w:val="auto"/>
          <w:kern w:val="2"/>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
        </w:rPr>
        <w:t>6.强化企业动态监管。</w:t>
      </w:r>
      <w:r>
        <w:rPr>
          <w:rFonts w:ascii="仿宋_GB2312" w:hAnsi="仿宋_GB2312" w:eastAsia="仿宋_GB2312" w:cs="仿宋_GB2312"/>
          <w:color w:val="000000"/>
          <w:kern w:val="0"/>
          <w:sz w:val="32"/>
          <w:szCs w:val="32"/>
          <w:lang w:val="en-US" w:eastAsia="zh-CN" w:bidi="ar"/>
        </w:rPr>
        <w:t>切实掌握本辖区内生产企业生产情况，实时掌握企业在产、停产情况，对因停产导致质量管理体系无法持续有效运行的企业，要跟踪掌握相关情况，采取针对性监管措施</w:t>
      </w:r>
      <w:r>
        <w:rPr>
          <w:rFonts w:hint="eastAsia" w:ascii="仿宋_GB2312" w:hAnsi="仿宋_GB2312" w:eastAsia="仿宋_GB2312" w:cs="仿宋_GB2312"/>
          <w:color w:val="000000"/>
          <w:kern w:val="0"/>
          <w:sz w:val="32"/>
          <w:szCs w:val="32"/>
          <w:lang w:val="en-US" w:eastAsia="zh-CN" w:bidi="ar"/>
        </w:rPr>
        <w:t>。</w:t>
      </w:r>
      <w:r>
        <w:rPr>
          <w:rFonts w:ascii="仿宋_GB2312" w:hAnsi="仿宋_GB2312" w:eastAsia="仿宋_GB2312" w:cs="仿宋_GB2312"/>
          <w:color w:val="000000"/>
          <w:kern w:val="0"/>
          <w:sz w:val="32"/>
          <w:szCs w:val="32"/>
          <w:lang w:val="en-US" w:eastAsia="zh-CN" w:bidi="ar"/>
        </w:rPr>
        <w:t>对长期停产企业恢复生产的，要及时开展跟踪检查，发现不符合医疗器械规范要求的，要依法依规处置到位。</w:t>
      </w:r>
    </w:p>
    <w:p w14:paraId="2DD8427A">
      <w:pPr>
        <w:pStyle w:val="10"/>
        <w:keepNext w:val="0"/>
        <w:keepLines w:val="0"/>
        <w:pageBreakBefore w:val="0"/>
        <w:kinsoku/>
        <w:wordWrap/>
        <w:overflowPunct/>
        <w:topLinePunct w:val="0"/>
        <w:autoSpaceDE/>
        <w:autoSpaceDN/>
        <w:bidi w:val="0"/>
        <w:snapToGrid/>
        <w:spacing w:after="0" w:line="560" w:lineRule="exact"/>
        <w:ind w:left="0" w:leftChars="0" w:firstLine="64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（二）加强经营环节监督管理</w:t>
      </w:r>
    </w:p>
    <w:p w14:paraId="5D622D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highlight w:val="none"/>
          <w:lang w:val="en-US" w:eastAsia="zh-CN"/>
        </w:rPr>
      </w:pPr>
      <w:r>
        <w:rPr>
          <w:rFonts w:hint="eastAsia" w:ascii="仿宋_GB2312" w:hAnsi="ˎ̥" w:eastAsia="仿宋_GB2312" w:cs="Arial"/>
          <w:b/>
          <w:bCs/>
          <w:kern w:val="0"/>
          <w:sz w:val="32"/>
          <w:szCs w:val="32"/>
          <w:highlight w:val="none"/>
          <w:u w:val="none"/>
          <w:lang w:val="en-US" w:eastAsia="zh-CN"/>
        </w:rPr>
        <w:t>1.严格</w:t>
      </w:r>
      <w:r>
        <w:rPr>
          <w:rFonts w:hint="eastAsia" w:ascii="仿宋_GB2312" w:hAnsi="ˎ̥" w:eastAsia="仿宋_GB2312" w:cs="Arial"/>
          <w:b/>
          <w:bCs/>
          <w:kern w:val="0"/>
          <w:sz w:val="32"/>
          <w:szCs w:val="32"/>
          <w:highlight w:val="none"/>
          <w:u w:val="none"/>
          <w:lang w:eastAsia="zh-CN"/>
        </w:rPr>
        <w:t>规范经营行为。</w:t>
      </w:r>
      <w:r>
        <w:rPr>
          <w:rFonts w:hint="eastAsia" w:ascii="仿宋_GB2312" w:hAnsi="ˎ̥" w:eastAsia="仿宋_GB2312" w:cs="Arial"/>
          <w:b w:val="0"/>
          <w:bCs w:val="0"/>
          <w:kern w:val="0"/>
          <w:sz w:val="32"/>
          <w:szCs w:val="32"/>
          <w:highlight w:val="none"/>
          <w:u w:val="none"/>
          <w:lang w:eastAsia="zh-CN"/>
        </w:rPr>
        <w:t>持之以恒</w:t>
      </w:r>
      <w:r>
        <w:rPr>
          <w:rFonts w:hint="eastAsia" w:ascii="仿宋_GB2312" w:hAnsi="ˎ̥" w:eastAsia="仿宋_GB2312" w:cs="Arial"/>
          <w:kern w:val="0"/>
          <w:sz w:val="32"/>
          <w:szCs w:val="32"/>
          <w:highlight w:val="none"/>
          <w:u w:val="none"/>
          <w:lang w:eastAsia="zh-CN"/>
        </w:rPr>
        <w:t>严查严控未经许可（备案）经营、经营未经注册（备案）医疗器械，对违法产品要坚决追踪溯源，进行延伸检查并依法严处。继续对“休眠”企业清查治理，重点检查未提交年度自查报告、经营地址与许可备案不一致等异常情况，对违反法规及经营质量管理规范、影响产品安全有效的，依法清查处置。</w:t>
      </w:r>
      <w:r>
        <w:rPr>
          <w:rFonts w:hint="eastAsia" w:ascii="仿宋_GB2312" w:eastAsia="仿宋_GB2312"/>
          <w:sz w:val="32"/>
          <w:szCs w:val="32"/>
          <w:highlight w:val="none"/>
          <w:lang w:val="en-US" w:eastAsia="zh-CN"/>
        </w:rPr>
        <w:t>深入排查辖区医疗器械经营企业质量负责人在职在岗、独立履职情况，依法严肃查处质量负责人兼职行为。</w:t>
      </w:r>
    </w:p>
    <w:p w14:paraId="1F1BD567">
      <w:pPr>
        <w:pStyle w:val="10"/>
        <w:spacing w:after="0" w:line="540" w:lineRule="exact"/>
        <w:ind w:left="0" w:leftChars="0" w:firstLine="630" w:firstLineChars="196"/>
        <w:rPr>
          <w:rFonts w:hint="eastAsia" w:ascii="仿宋_GB2312" w:eastAsia="仿宋_GB2312"/>
          <w:sz w:val="32"/>
          <w:szCs w:val="32"/>
          <w:highlight w:val="none"/>
          <w:u w:val="none"/>
          <w:lang w:eastAsia="zh-CN"/>
        </w:rPr>
      </w:pPr>
      <w:r>
        <w:rPr>
          <w:rFonts w:hint="eastAsia" w:ascii="仿宋_GB2312" w:hAnsi="ˎ̥" w:eastAsia="仿宋_GB2312" w:cs="Arial"/>
          <w:b/>
          <w:bCs/>
          <w:kern w:val="0"/>
          <w:sz w:val="32"/>
          <w:szCs w:val="32"/>
          <w:highlight w:val="none"/>
          <w:u w:val="none"/>
          <w:lang w:val="en-US" w:eastAsia="zh-CN"/>
        </w:rPr>
        <w:t>2.</w:t>
      </w:r>
      <w:r>
        <w:rPr>
          <w:rFonts w:hint="eastAsia" w:ascii="仿宋_GB2312" w:hAnsi="ˎ̥" w:eastAsia="仿宋_GB2312" w:cs="Arial"/>
          <w:b/>
          <w:bCs/>
          <w:kern w:val="0"/>
          <w:sz w:val="32"/>
          <w:szCs w:val="32"/>
          <w:highlight w:val="none"/>
          <w:u w:val="none"/>
          <w:lang w:eastAsia="zh-CN"/>
        </w:rPr>
        <w:t>强化重点品种监督检查。</w:t>
      </w:r>
      <w:r>
        <w:rPr>
          <w:rFonts w:hint="eastAsia" w:ascii="仿宋_GB2312" w:eastAsia="仿宋_GB2312"/>
          <w:sz w:val="32"/>
          <w:szCs w:val="32"/>
          <w:highlight w:val="none"/>
          <w:lang w:val="en-US" w:eastAsia="zh-CN"/>
        </w:rPr>
        <w:t>聚焦</w:t>
      </w:r>
      <w:r>
        <w:rPr>
          <w:rFonts w:hint="eastAsia" w:ascii="仿宋_GB2312" w:eastAsia="仿宋_GB2312"/>
          <w:sz w:val="32"/>
          <w:szCs w:val="32"/>
          <w:highlight w:val="none"/>
        </w:rPr>
        <w:t>无菌和植入性</w:t>
      </w:r>
      <w:r>
        <w:rPr>
          <w:rFonts w:hint="eastAsia" w:ascii="仿宋_GB2312" w:eastAsia="仿宋_GB2312"/>
          <w:sz w:val="32"/>
          <w:szCs w:val="32"/>
          <w:highlight w:val="none"/>
          <w:lang w:eastAsia="zh-CN"/>
        </w:rPr>
        <w:t>、省级以上</w:t>
      </w:r>
      <w:r>
        <w:rPr>
          <w:rFonts w:hint="eastAsia" w:ascii="仿宋_GB2312" w:eastAsia="仿宋_GB2312"/>
          <w:sz w:val="32"/>
          <w:szCs w:val="32"/>
          <w:highlight w:val="none"/>
          <w:lang w:val="en-US" w:eastAsia="zh-CN"/>
        </w:rPr>
        <w:t>集采中选、青少年近视防治、医疗美容、辅助生殖、艾滋病防治医疗器械，流感、肿瘤和心血管疾病诊断试剂等重点产品，</w:t>
      </w:r>
      <w:r>
        <w:rPr>
          <w:rFonts w:hint="eastAsia" w:ascii="仿宋_GB2312" w:eastAsia="仿宋_GB2312"/>
          <w:sz w:val="32"/>
          <w:szCs w:val="32"/>
          <w:highlight w:val="none"/>
          <w:u w:val="none"/>
          <w:lang w:eastAsia="zh-CN"/>
        </w:rPr>
        <w:t>加大监督检查力度，对销售抽检不合格产品的企业，要认真评估风险，监督企业落实召回职责</w:t>
      </w:r>
      <w:r>
        <w:rPr>
          <w:rFonts w:hint="eastAsia" w:ascii="仿宋_GB2312" w:eastAsia="仿宋_GB2312"/>
          <w:sz w:val="32"/>
          <w:szCs w:val="32"/>
          <w:highlight w:val="none"/>
          <w:u w:val="none"/>
          <w:lang w:val="en-US" w:eastAsia="zh-CN"/>
        </w:rPr>
        <w:t>。</w:t>
      </w:r>
    </w:p>
    <w:p w14:paraId="1D99B9B7">
      <w:pPr>
        <w:pStyle w:val="10"/>
        <w:spacing w:after="0" w:line="540" w:lineRule="exact"/>
        <w:ind w:left="0" w:leftChars="0" w:firstLine="630" w:firstLineChars="196"/>
        <w:rPr>
          <w:rFonts w:hint="eastAsia" w:ascii="仿宋_GB2312" w:eastAsia="仿宋_GB2312"/>
          <w:sz w:val="32"/>
          <w:szCs w:val="32"/>
          <w:highlight w:val="none"/>
          <w:lang w:val="en-US" w:eastAsia="zh-CN"/>
        </w:rPr>
      </w:pPr>
      <w:r>
        <w:rPr>
          <w:rFonts w:hint="eastAsia" w:ascii="仿宋_GB2312" w:eastAsia="仿宋_GB2312"/>
          <w:b/>
          <w:bCs/>
          <w:sz w:val="32"/>
          <w:szCs w:val="32"/>
          <w:highlight w:val="none"/>
          <w:u w:val="none"/>
          <w:lang w:val="en-US" w:eastAsia="zh-CN"/>
        </w:rPr>
        <w:t>3.强化重点企业监督管理。</w:t>
      </w:r>
      <w:r>
        <w:rPr>
          <w:rFonts w:hint="eastAsia" w:ascii="仿宋_GB2312" w:eastAsia="仿宋_GB2312"/>
          <w:b w:val="0"/>
          <w:bCs w:val="0"/>
          <w:sz w:val="32"/>
          <w:szCs w:val="32"/>
          <w:highlight w:val="none"/>
          <w:u w:val="none"/>
          <w:lang w:val="en-US" w:eastAsia="zh-CN"/>
        </w:rPr>
        <w:t>落实分级监管职责，</w:t>
      </w:r>
      <w:r>
        <w:rPr>
          <w:rFonts w:hint="eastAsia" w:ascii="仿宋_GB2312" w:eastAsia="仿宋_GB2312"/>
          <w:sz w:val="32"/>
          <w:szCs w:val="32"/>
          <w:highlight w:val="none"/>
          <w:lang w:val="en-US" w:eastAsia="zh-CN"/>
        </w:rPr>
        <w:t>对经营冷链医疗器械企业加强监督检查，对未按照要求开展收货、验收、在库检查和记录，以及未按照说明书和标签标示要求运输、贮存医疗器械的，依法严肃查处。对涉嫌“空壳”“走票”等无实际经营活动的异常问题线索，及时移送相关部门。</w:t>
      </w:r>
    </w:p>
    <w:p w14:paraId="0114383C">
      <w:pPr>
        <w:pStyle w:val="10"/>
        <w:keepNext w:val="0"/>
        <w:keepLines w:val="0"/>
        <w:pageBreakBefore w:val="0"/>
        <w:widowControl w:val="0"/>
        <w:kinsoku/>
        <w:wordWrap/>
        <w:overflowPunct/>
        <w:topLinePunct w:val="0"/>
        <w:autoSpaceDE/>
        <w:autoSpaceDN/>
        <w:bidi w:val="0"/>
        <w:snapToGrid/>
        <w:spacing w:after="0" w:line="560" w:lineRule="exact"/>
        <w:ind w:left="0" w:leftChars="0" w:firstLine="643"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b/>
          <w:bCs/>
          <w:color w:val="000000"/>
          <w:kern w:val="0"/>
          <w:sz w:val="32"/>
          <w:szCs w:val="32"/>
          <w:lang w:val="en-US" w:eastAsia="zh-CN" w:bidi="ar"/>
        </w:rPr>
        <w:t>4.规范经营许可（备案）工作。</w:t>
      </w:r>
      <w:r>
        <w:rPr>
          <w:rFonts w:hint="eastAsia" w:ascii="仿宋_GB2312" w:hAnsi="ˎ̥" w:eastAsia="仿宋_GB2312" w:cs="Arial"/>
          <w:kern w:val="0"/>
          <w:sz w:val="32"/>
          <w:szCs w:val="32"/>
          <w:highlight w:val="none"/>
          <w:u w:val="none"/>
          <w:lang w:eastAsia="zh-CN"/>
        </w:rPr>
        <w:t>重点</w:t>
      </w:r>
      <w:r>
        <w:rPr>
          <w:rFonts w:hint="eastAsia" w:ascii="仿宋_GB2312" w:hAnsi="ˎ̥" w:eastAsia="仿宋_GB2312" w:cs="Arial"/>
          <w:kern w:val="0"/>
          <w:sz w:val="32"/>
          <w:szCs w:val="32"/>
          <w:highlight w:val="none"/>
          <w:u w:val="none"/>
          <w:lang w:val="en-US" w:eastAsia="zh-CN"/>
        </w:rPr>
        <w:t>对</w:t>
      </w:r>
      <w:r>
        <w:rPr>
          <w:rFonts w:hint="eastAsia" w:ascii="CESI仿宋-GB2312" w:hAnsi="CESI仿宋-GB2312" w:eastAsia="CESI仿宋-GB2312" w:cs="CESI仿宋-GB2312"/>
          <w:color w:val="auto"/>
          <w:sz w:val="32"/>
          <w:szCs w:val="32"/>
          <w:lang w:eastAsia="zh-CN"/>
        </w:rPr>
        <w:t>不具备经营条件或者与许可、备案信息不符，无实际经营场所、名存实亡、市场主体已被注销等情况的企业依法清理；</w:t>
      </w:r>
      <w:r>
        <w:rPr>
          <w:rFonts w:hint="eastAsia" w:ascii="仿宋_GB2312" w:hAnsi="ˎ̥" w:eastAsia="仿宋_GB2312" w:cs="Arial"/>
          <w:kern w:val="0"/>
          <w:sz w:val="32"/>
          <w:szCs w:val="32"/>
          <w:highlight w:val="none"/>
          <w:u w:val="none"/>
          <w:shd w:val="clear" w:color="auto" w:fill="auto"/>
          <w:lang w:val="en-US" w:eastAsia="zh-CN"/>
        </w:rPr>
        <w:t>将市场主体失踪、企业法定代表人（企业负责人）失联的企业及时纳入经营异常名录</w:t>
      </w:r>
      <w:r>
        <w:rPr>
          <w:rFonts w:hint="eastAsia" w:ascii="仿宋_GB2312" w:hAnsi="Courier New" w:eastAsia="仿宋_GB2312" w:cs="Courier New"/>
          <w:b w:val="0"/>
          <w:bCs w:val="0"/>
          <w:kern w:val="2"/>
          <w:sz w:val="32"/>
          <w:szCs w:val="32"/>
          <w:u w:val="none"/>
          <w:lang w:val="en-US" w:eastAsia="zh-CN" w:bidi="ar-SA"/>
        </w:rPr>
        <w:t>。义马市、渑池县、灵宝市、卢氏县市场监督管理局应按时</w:t>
      </w:r>
      <w:r>
        <w:rPr>
          <w:rFonts w:hint="eastAsia" w:ascii="仿宋_GB2312" w:eastAsia="仿宋_GB2312"/>
          <w:sz w:val="32"/>
          <w:szCs w:val="32"/>
          <w:lang w:val="en-US" w:eastAsia="zh-CN"/>
        </w:rPr>
        <w:t>办理</w:t>
      </w:r>
      <w:r>
        <w:rPr>
          <w:rFonts w:hint="eastAsia" w:ascii="仿宋_GB2312" w:eastAsia="仿宋_GB2312"/>
          <w:sz w:val="32"/>
          <w:szCs w:val="32"/>
        </w:rPr>
        <w:t>医疗器械网络</w:t>
      </w:r>
      <w:r>
        <w:rPr>
          <w:rFonts w:hint="eastAsia" w:ascii="仿宋_GB2312" w:eastAsia="仿宋_GB2312"/>
          <w:sz w:val="32"/>
          <w:szCs w:val="32"/>
          <w:lang w:eastAsia="zh-CN"/>
        </w:rPr>
        <w:t>销售备案，</w:t>
      </w:r>
      <w:r>
        <w:rPr>
          <w:rFonts w:hint="eastAsia" w:ascii="仿宋_GB2312" w:eastAsia="仿宋_GB2312"/>
          <w:sz w:val="32"/>
          <w:szCs w:val="32"/>
          <w:lang w:val="en-US" w:eastAsia="zh-CN"/>
        </w:rPr>
        <w:t>并于</w:t>
      </w:r>
      <w:r>
        <w:rPr>
          <w:rFonts w:hint="eastAsia" w:ascii="Times New Roman" w:hAnsi="Times New Roman" w:eastAsia="仿宋_GB2312" w:cs="Times New Roman"/>
          <w:kern w:val="2"/>
          <w:sz w:val="32"/>
          <w:szCs w:val="32"/>
          <w:lang w:val="en-US" w:eastAsia="zh-CN" w:bidi="ar-SA"/>
        </w:rPr>
        <w:t>7</w:t>
      </w:r>
      <w:r>
        <w:rPr>
          <w:rFonts w:hint="eastAsia" w:ascii="仿宋_GB2312" w:eastAsia="仿宋_GB2312"/>
          <w:sz w:val="32"/>
          <w:szCs w:val="32"/>
          <w:lang w:val="en-US" w:eastAsia="zh-CN"/>
        </w:rPr>
        <w:t>个工作日内进行公示。</w:t>
      </w:r>
    </w:p>
    <w:p w14:paraId="44128070">
      <w:pPr>
        <w:keepNext w:val="0"/>
        <w:keepLines w:val="0"/>
        <w:pageBreakBefore w:val="0"/>
        <w:widowControl w:val="0"/>
        <w:kinsoku/>
        <w:wordWrap/>
        <w:overflowPunct/>
        <w:topLinePunct w:val="0"/>
        <w:autoSpaceDE/>
        <w:autoSpaceDN/>
        <w:bidi w:val="0"/>
        <w:adjustRightInd w:val="0"/>
        <w:snapToGrid/>
        <w:spacing w:line="560" w:lineRule="exact"/>
        <w:ind w:firstLine="622"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b/>
          <w:bCs/>
          <w:color w:val="000000"/>
          <w:kern w:val="0"/>
          <w:sz w:val="31"/>
          <w:szCs w:val="31"/>
          <w:lang w:val="en-US" w:eastAsia="zh-CN" w:bidi="ar"/>
        </w:rPr>
        <w:t>5.落实分级监管职责。</w:t>
      </w:r>
      <w:r>
        <w:rPr>
          <w:rFonts w:hint="eastAsia" w:ascii="仿宋_GB2312" w:eastAsia="仿宋_GB2312"/>
          <w:sz w:val="32"/>
          <w:szCs w:val="32"/>
          <w:lang w:eastAsia="zh-CN"/>
        </w:rPr>
        <w:t>根据</w:t>
      </w:r>
      <w:r>
        <w:rPr>
          <w:rFonts w:hint="eastAsia" w:ascii="仿宋_GB2312" w:eastAsia="仿宋_GB2312"/>
          <w:sz w:val="32"/>
          <w:szCs w:val="32"/>
          <w:lang w:val="en-US" w:eastAsia="zh-CN"/>
        </w:rPr>
        <w:t>市</w:t>
      </w:r>
      <w:r>
        <w:rPr>
          <w:rFonts w:hint="eastAsia" w:ascii="仿宋_GB2312" w:eastAsia="仿宋_GB2312"/>
          <w:sz w:val="32"/>
          <w:szCs w:val="32"/>
          <w:lang w:eastAsia="zh-CN"/>
        </w:rPr>
        <w:t>局《</w:t>
      </w:r>
      <w:r>
        <w:rPr>
          <w:rFonts w:hint="eastAsia" w:ascii="仿宋_GB2312" w:eastAsia="仿宋_GB2312"/>
          <w:sz w:val="32"/>
          <w:szCs w:val="32"/>
          <w:lang w:val="en-US" w:eastAsia="zh-CN"/>
        </w:rPr>
        <w:t>关于转发&lt;河南省药监局综合处关于加强医疗器械生产经营分级监管工作的指导意见&gt;的通知》</w:t>
      </w:r>
      <w:r>
        <w:rPr>
          <w:rFonts w:hint="eastAsia" w:ascii="仿宋_GB2312" w:eastAsia="仿宋_GB2312"/>
          <w:sz w:val="32"/>
          <w:szCs w:val="32"/>
          <w:lang w:eastAsia="zh-CN"/>
        </w:rPr>
        <w:t>，</w:t>
      </w:r>
      <w:r>
        <w:rPr>
          <w:rFonts w:hint="eastAsia" w:ascii="仿宋_GB2312" w:hAnsi="仿宋_GB2312" w:eastAsia="仿宋_GB2312" w:cs="仿宋_GB2312"/>
          <w:color w:val="000000"/>
          <w:kern w:val="0"/>
          <w:sz w:val="31"/>
          <w:szCs w:val="31"/>
          <w:lang w:val="en-US" w:eastAsia="zh-CN" w:bidi="ar"/>
        </w:rPr>
        <w:t>各县（市、分）局应</w:t>
      </w:r>
      <w:r>
        <w:rPr>
          <w:rFonts w:hint="eastAsia" w:ascii="仿宋_GB2312" w:eastAsia="仿宋_GB2312"/>
          <w:sz w:val="32"/>
          <w:szCs w:val="32"/>
          <w:lang w:eastAsia="zh-CN"/>
        </w:rPr>
        <w:t>结合本</w:t>
      </w:r>
      <w:r>
        <w:rPr>
          <w:rFonts w:hint="eastAsia" w:ascii="仿宋_GB2312" w:eastAsia="仿宋_GB2312"/>
          <w:sz w:val="32"/>
          <w:szCs w:val="32"/>
          <w:lang w:val="en-US" w:eastAsia="zh-CN"/>
        </w:rPr>
        <w:t>辖区</w:t>
      </w:r>
      <w:r>
        <w:rPr>
          <w:rFonts w:hint="eastAsia" w:ascii="仿宋_GB2312" w:eastAsia="仿宋_GB2312"/>
          <w:sz w:val="32"/>
          <w:szCs w:val="32"/>
          <w:lang w:eastAsia="zh-CN"/>
        </w:rPr>
        <w:t>监管实际，综合分析产品监督抽检、不良事件监测、产品召回、质量投诉、风险会商情况等因素，动态调整监管级别，按照监管级别开展监督检查。</w:t>
      </w:r>
    </w:p>
    <w:p w14:paraId="7DA9BCEB">
      <w:pPr>
        <w:pStyle w:val="10"/>
        <w:keepNext w:val="0"/>
        <w:keepLines w:val="0"/>
        <w:pageBreakBefore w:val="0"/>
        <w:widowControl w:val="0"/>
        <w:kinsoku/>
        <w:wordWrap/>
        <w:overflowPunct/>
        <w:topLinePunct w:val="0"/>
        <w:autoSpaceDE/>
        <w:autoSpaceDN/>
        <w:bidi w:val="0"/>
        <w:snapToGrid/>
        <w:spacing w:after="0" w:line="560" w:lineRule="exact"/>
        <w:ind w:left="0" w:leftChars="0" w:firstLine="622" w:firstLineChars="200"/>
        <w:textAlignment w:val="auto"/>
        <w:outlineLvl w:val="9"/>
        <w:rPr>
          <w:rFonts w:hint="eastAsia" w:ascii="仿宋_GB2312" w:eastAsia="仿宋_GB2312"/>
          <w:sz w:val="32"/>
          <w:szCs w:val="32"/>
          <w:lang w:val="en-US" w:eastAsia="zh-CN"/>
        </w:rPr>
      </w:pPr>
      <w:r>
        <w:rPr>
          <w:rFonts w:hint="eastAsia" w:ascii="仿宋_GB2312" w:hAnsi="仿宋_GB2312" w:eastAsia="仿宋_GB2312" w:cs="仿宋_GB2312"/>
          <w:b/>
          <w:bCs/>
          <w:color w:val="000000"/>
          <w:kern w:val="0"/>
          <w:sz w:val="31"/>
          <w:szCs w:val="31"/>
          <w:lang w:val="en-US" w:eastAsia="zh-CN" w:bidi="ar"/>
        </w:rPr>
        <w:t>6.持续推进《医疗器械经营质量管理规范》贯彻实施。</w:t>
      </w:r>
      <w:r>
        <w:rPr>
          <w:rFonts w:hint="eastAsia" w:ascii="仿宋_GB2312" w:eastAsia="仿宋_GB2312"/>
          <w:sz w:val="32"/>
          <w:szCs w:val="32"/>
          <w:highlight w:val="none"/>
          <w:lang w:eastAsia="zh-CN"/>
        </w:rPr>
        <w:t>监督医疗器械经营企业落实质量管理自查制度并上报自查报告，建立健全监管台账，采取日常检查、专项检查等方式加强监管。</w:t>
      </w:r>
      <w:r>
        <w:rPr>
          <w:rFonts w:hint="eastAsia" w:ascii="仿宋_GB2312" w:eastAsia="仿宋_GB2312"/>
          <w:sz w:val="32"/>
          <w:szCs w:val="32"/>
          <w:highlight w:val="none"/>
          <w:lang w:val="en-US" w:eastAsia="zh-CN"/>
        </w:rPr>
        <w:t>重点</w:t>
      </w:r>
      <w:r>
        <w:rPr>
          <w:rFonts w:hint="eastAsia" w:ascii="仿宋_GB2312" w:eastAsia="仿宋_GB2312"/>
          <w:sz w:val="32"/>
          <w:szCs w:val="32"/>
          <w:highlight w:val="none"/>
          <w:lang w:eastAsia="zh-CN"/>
        </w:rPr>
        <w:t>严查严控未经许可（备案）经营、经营未经注册或备案医疗器械、未按照产品说明书标签标示要求运输贮存等风险</w:t>
      </w:r>
      <w:r>
        <w:rPr>
          <w:rFonts w:hint="eastAsia" w:ascii="仿宋_GB2312" w:hAnsi="Times New Roman" w:eastAsia="仿宋_GB2312" w:cs="Times New Roman"/>
          <w:sz w:val="32"/>
          <w:szCs w:val="32"/>
          <w:highlight w:val="none"/>
          <w:lang w:val="en-US" w:eastAsia="zh-CN"/>
        </w:rPr>
        <w:t>隐患，对违法产品要追踪溯源，</w:t>
      </w:r>
      <w:r>
        <w:rPr>
          <w:rFonts w:hint="eastAsia" w:ascii="仿宋_GB2312" w:eastAsia="仿宋_GB2312" w:cs="Times New Roman"/>
          <w:sz w:val="32"/>
          <w:szCs w:val="32"/>
          <w:highlight w:val="none"/>
          <w:lang w:val="en-US" w:eastAsia="zh-CN"/>
        </w:rPr>
        <w:t>必要时</w:t>
      </w:r>
      <w:r>
        <w:rPr>
          <w:rFonts w:hint="eastAsia" w:ascii="仿宋_GB2312" w:hAnsi="Times New Roman" w:eastAsia="仿宋_GB2312" w:cs="Times New Roman"/>
          <w:sz w:val="32"/>
          <w:szCs w:val="32"/>
          <w:highlight w:val="none"/>
          <w:lang w:val="en-US" w:eastAsia="zh-CN"/>
        </w:rPr>
        <w:t>开展延伸检查，依法处置到位。</w:t>
      </w:r>
    </w:p>
    <w:p w14:paraId="00B99F28">
      <w:pPr>
        <w:pStyle w:val="10"/>
        <w:keepNext w:val="0"/>
        <w:keepLines w:val="0"/>
        <w:pageBreakBefore w:val="0"/>
        <w:kinsoku/>
        <w:wordWrap/>
        <w:overflowPunct/>
        <w:topLinePunct w:val="0"/>
        <w:autoSpaceDE/>
        <w:autoSpaceDN/>
        <w:bidi w:val="0"/>
        <w:snapToGrid/>
        <w:spacing w:after="0" w:line="560" w:lineRule="exact"/>
        <w:ind w:left="0" w:leftChars="0" w:firstLine="64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（三）加强网络销售环节监督管理</w:t>
      </w:r>
    </w:p>
    <w:p w14:paraId="6E99205D">
      <w:pPr>
        <w:pStyle w:val="10"/>
        <w:spacing w:after="0" w:line="540" w:lineRule="exact"/>
        <w:ind w:left="0" w:leftChars="0" w:firstLine="627" w:firstLineChars="196"/>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要深化医疗器械网络销售“清网”治理。对凝胶贴敷、医疗美容、口腔、眼科器械等市场需求大、问题集中的医疗器械，持续加大查处力度。依法清理违法违规链接信息和追查处置违法产品源头。落实《医疗器械网络销售质量管理规范》，推进线上线下一体化监管，对质量管理责任落实不到位的企业，采取责令改正、约谈等方式，督促整改落实到位。</w:t>
      </w:r>
    </w:p>
    <w:p w14:paraId="35DA15DC">
      <w:pPr>
        <w:pStyle w:val="10"/>
        <w:keepNext w:val="0"/>
        <w:keepLines w:val="0"/>
        <w:pageBreakBefore w:val="0"/>
        <w:kinsoku/>
        <w:wordWrap/>
        <w:overflowPunct/>
        <w:topLinePunct w:val="0"/>
        <w:autoSpaceDE/>
        <w:autoSpaceDN/>
        <w:bidi w:val="0"/>
        <w:snapToGrid/>
        <w:spacing w:after="0" w:line="560" w:lineRule="exact"/>
        <w:ind w:left="0" w:leftChars="0" w:firstLine="64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（四）加强使用环节监督管理</w:t>
      </w:r>
    </w:p>
    <w:p w14:paraId="4F254CF4">
      <w:pPr>
        <w:pStyle w:val="10"/>
        <w:spacing w:after="0" w:line="540" w:lineRule="exact"/>
        <w:ind w:left="0" w:leftChars="0" w:firstLine="630" w:firstLineChars="196"/>
        <w:rPr>
          <w:rFonts w:hint="eastAsia" w:ascii="仿宋_GB2312" w:hAnsi="??" w:eastAsia="仿宋_GB2312" w:cs="Arial"/>
          <w:bCs/>
          <w:kern w:val="0"/>
          <w:sz w:val="32"/>
          <w:szCs w:val="32"/>
          <w:highlight w:val="none"/>
          <w:shd w:val="clear" w:color="auto" w:fill="auto"/>
          <w:lang w:eastAsia="zh-CN"/>
        </w:rPr>
      </w:pPr>
      <w:r>
        <w:rPr>
          <w:rFonts w:hint="eastAsia" w:ascii="仿宋_GB2312" w:hAnsi="??" w:eastAsia="仿宋_GB2312" w:cs="Arial"/>
          <w:b/>
          <w:bCs w:val="0"/>
          <w:kern w:val="0"/>
          <w:sz w:val="32"/>
          <w:szCs w:val="32"/>
          <w:highlight w:val="none"/>
          <w:shd w:val="clear" w:color="auto" w:fill="auto"/>
          <w:lang w:val="en-US" w:eastAsia="zh-CN"/>
        </w:rPr>
        <w:t>1.开展</w:t>
      </w:r>
      <w:r>
        <w:rPr>
          <w:rFonts w:hint="eastAsia" w:ascii="仿宋_GB2312" w:hAnsi="??" w:eastAsia="仿宋_GB2312" w:cs="Arial"/>
          <w:b/>
          <w:bCs w:val="0"/>
          <w:kern w:val="0"/>
          <w:sz w:val="32"/>
          <w:szCs w:val="32"/>
          <w:highlight w:val="none"/>
          <w:shd w:val="clear" w:color="auto" w:fill="auto"/>
          <w:lang w:eastAsia="zh-CN"/>
        </w:rPr>
        <w:t>跨部门综合监管。</w:t>
      </w:r>
      <w:r>
        <w:rPr>
          <w:rFonts w:hint="eastAsia" w:ascii="仿宋_GB2312" w:hAnsi="??" w:eastAsia="仿宋_GB2312" w:cs="Arial"/>
          <w:b w:val="0"/>
          <w:bCs/>
          <w:kern w:val="0"/>
          <w:sz w:val="32"/>
          <w:szCs w:val="32"/>
          <w:highlight w:val="none"/>
          <w:shd w:val="clear" w:color="auto" w:fill="auto"/>
          <w:lang w:eastAsia="zh-CN"/>
        </w:rPr>
        <w:t>继续</w:t>
      </w:r>
      <w:r>
        <w:rPr>
          <w:rFonts w:hint="eastAsia" w:ascii="仿宋_GB2312" w:hAnsi="??" w:eastAsia="仿宋_GB2312" w:cs="Arial"/>
          <w:bCs/>
          <w:kern w:val="0"/>
          <w:sz w:val="32"/>
          <w:szCs w:val="32"/>
          <w:highlight w:val="none"/>
          <w:lang w:eastAsia="zh-CN"/>
        </w:rPr>
        <w:t>开展医疗器械使用环节跨部门综合监管工作，加强同卫健部门沟通协调，统筹监管力量，</w:t>
      </w:r>
      <w:r>
        <w:rPr>
          <w:rFonts w:hint="eastAsia" w:ascii="仿宋_GB2312" w:hAnsi="??" w:eastAsia="仿宋_GB2312" w:cs="Arial"/>
          <w:bCs/>
          <w:kern w:val="0"/>
          <w:sz w:val="32"/>
          <w:szCs w:val="32"/>
          <w:highlight w:val="none"/>
          <w:shd w:val="clear" w:color="auto" w:fill="auto"/>
          <w:lang w:eastAsia="zh-CN"/>
        </w:rPr>
        <w:t>推动跨部门联合检查成为使用环节日常监管工作的主要形式</w:t>
      </w:r>
      <w:r>
        <w:rPr>
          <w:rFonts w:hint="eastAsia" w:ascii="仿宋_GB2312" w:hAnsi="??" w:eastAsia="仿宋_GB2312" w:cs="Arial"/>
          <w:bCs/>
          <w:kern w:val="0"/>
          <w:sz w:val="32"/>
          <w:szCs w:val="32"/>
          <w:highlight w:val="none"/>
          <w:lang w:eastAsia="zh-CN"/>
        </w:rPr>
        <w:t>。</w:t>
      </w:r>
      <w:r>
        <w:rPr>
          <w:rFonts w:hint="eastAsia" w:ascii="仿宋_GB2312" w:hAnsi="??" w:eastAsia="仿宋_GB2312" w:cs="Arial"/>
          <w:bCs/>
          <w:kern w:val="0"/>
          <w:sz w:val="32"/>
          <w:szCs w:val="32"/>
          <w:highlight w:val="none"/>
          <w:shd w:val="clear" w:color="auto" w:fill="auto"/>
          <w:lang w:eastAsia="zh-CN"/>
        </w:rPr>
        <w:t>配合卫生健康部门做好医疗美容服务跨部门综合监管工作，发现涉及其他部门的违法违规线索及时移交。</w:t>
      </w:r>
    </w:p>
    <w:p w14:paraId="7FA0FB63">
      <w:pPr>
        <w:pStyle w:val="10"/>
        <w:spacing w:after="0" w:line="540" w:lineRule="exact"/>
        <w:ind w:left="0" w:leftChars="0" w:firstLine="630" w:firstLineChars="196"/>
        <w:rPr>
          <w:rFonts w:hint="eastAsia" w:ascii="仿宋_GB2312" w:hAnsi="??" w:eastAsia="仿宋_GB2312" w:cs="Arial"/>
          <w:bCs/>
          <w:kern w:val="0"/>
          <w:sz w:val="32"/>
          <w:szCs w:val="32"/>
          <w:highlight w:val="none"/>
          <w:shd w:val="clear" w:color="auto" w:fill="auto"/>
          <w:lang w:val="en-US" w:eastAsia="zh-CN"/>
        </w:rPr>
      </w:pPr>
      <w:r>
        <w:rPr>
          <w:rFonts w:hint="eastAsia" w:ascii="仿宋_GB2312" w:hAnsi="??" w:eastAsia="仿宋_GB2312" w:cs="Arial"/>
          <w:b/>
          <w:bCs w:val="0"/>
          <w:kern w:val="0"/>
          <w:sz w:val="32"/>
          <w:szCs w:val="32"/>
          <w:highlight w:val="none"/>
          <w:shd w:val="clear" w:color="auto" w:fill="auto"/>
          <w:lang w:val="en-US" w:eastAsia="zh-CN"/>
        </w:rPr>
        <w:t>2.强化重点单位监督管理。</w:t>
      </w:r>
      <w:r>
        <w:rPr>
          <w:rFonts w:hint="eastAsia" w:ascii="仿宋_GB2312" w:hAnsi="??" w:eastAsia="仿宋_GB2312" w:cs="Arial"/>
          <w:bCs/>
          <w:kern w:val="0"/>
          <w:sz w:val="32"/>
          <w:szCs w:val="32"/>
          <w:highlight w:val="none"/>
          <w:shd w:val="clear" w:color="auto" w:fill="auto"/>
          <w:lang w:val="en-US" w:eastAsia="zh-CN"/>
        </w:rPr>
        <w:t>以二、三级医院，医疗美容机构为重点，关注风险会商、各级监督抽检产品不合格的使用单位，重点检查购进渠道、产品资质审查，效期管理等，要特别关注肿瘤筛查、诊断、辅助诊断等体外诊断试剂，以及注射填充、超声、激光、高频/射频类等医美重点产品，严肃查处非法渠道采购，使用未经注册、过期医疗器械等违法违规行为。</w:t>
      </w:r>
    </w:p>
    <w:p w14:paraId="5BF0C799">
      <w:pPr>
        <w:pStyle w:val="10"/>
        <w:spacing w:after="0" w:line="540" w:lineRule="exact"/>
        <w:ind w:left="0" w:leftChars="0" w:firstLine="610" w:firstLineChars="196"/>
        <w:rPr>
          <w:rFonts w:hint="eastAsia" w:ascii="仿宋_GB2312" w:hAnsi="??" w:eastAsia="仿宋_GB2312" w:cs="Arial"/>
          <w:bCs/>
          <w:kern w:val="0"/>
          <w:sz w:val="32"/>
          <w:szCs w:val="32"/>
          <w:highlight w:val="none"/>
          <w:shd w:val="clear" w:color="auto" w:fill="auto"/>
          <w:lang w:val="en-US" w:eastAsia="zh-CN"/>
        </w:rPr>
      </w:pPr>
      <w:r>
        <w:rPr>
          <w:rFonts w:hint="eastAsia" w:ascii="仿宋_GB2312" w:hAnsi="仿宋_GB2312" w:eastAsia="仿宋_GB2312" w:cs="仿宋_GB2312"/>
          <w:b/>
          <w:bCs/>
          <w:color w:val="000000"/>
          <w:kern w:val="0"/>
          <w:sz w:val="31"/>
          <w:szCs w:val="31"/>
          <w:lang w:val="en-US" w:eastAsia="zh-CN" w:bidi="ar"/>
        </w:rPr>
        <w:t>3.督促落实主体责任。</w:t>
      </w:r>
      <w:r>
        <w:rPr>
          <w:rFonts w:hint="eastAsia" w:ascii="仿宋_GB2312" w:hAnsi="ˎ̥" w:eastAsia="仿宋_GB2312" w:cs="Arial"/>
          <w:kern w:val="0"/>
          <w:sz w:val="32"/>
          <w:szCs w:val="32"/>
        </w:rPr>
        <w:t>督促</w:t>
      </w:r>
      <w:r>
        <w:rPr>
          <w:rFonts w:hint="eastAsia" w:ascii="仿宋_GB2312" w:hAnsi="ˎ̥" w:eastAsia="仿宋_GB2312" w:cs="Arial"/>
          <w:kern w:val="0"/>
          <w:sz w:val="32"/>
          <w:szCs w:val="32"/>
          <w:lang w:eastAsia="zh-CN"/>
        </w:rPr>
        <w:t>使用单位</w:t>
      </w:r>
      <w:r>
        <w:rPr>
          <w:rFonts w:hint="eastAsia" w:ascii="仿宋_GB2312" w:hAnsi="ˎ̥" w:eastAsia="仿宋_GB2312" w:cs="Arial"/>
          <w:kern w:val="0"/>
          <w:sz w:val="32"/>
          <w:szCs w:val="32"/>
        </w:rPr>
        <w:t>严格</w:t>
      </w:r>
      <w:r>
        <w:rPr>
          <w:rFonts w:hint="eastAsia" w:ascii="仿宋_GB2312" w:hAnsi="ˎ̥" w:eastAsia="仿宋_GB2312" w:cs="Arial"/>
          <w:kern w:val="0"/>
          <w:sz w:val="32"/>
          <w:szCs w:val="32"/>
          <w:lang w:eastAsia="zh-CN"/>
        </w:rPr>
        <w:t>落实《医疗器械使用质量监督管理办法》</w:t>
      </w:r>
      <w:r>
        <w:rPr>
          <w:rFonts w:hint="eastAsia" w:ascii="仿宋_GB2312" w:hAnsi="ˎ̥" w:eastAsia="仿宋_GB2312" w:cs="Arial"/>
          <w:kern w:val="0"/>
          <w:sz w:val="32"/>
          <w:szCs w:val="32"/>
        </w:rPr>
        <w:t>，</w:t>
      </w:r>
      <w:r>
        <w:rPr>
          <w:rFonts w:hint="eastAsia" w:ascii="仿宋_GB2312" w:hAnsi="ˎ̥" w:eastAsia="仿宋_GB2312" w:cs="Arial"/>
          <w:kern w:val="0"/>
          <w:sz w:val="32"/>
          <w:szCs w:val="32"/>
          <w:lang w:eastAsia="zh-CN"/>
        </w:rPr>
        <w:t>强化质量安全关键岗位人员责任落实，定期</w:t>
      </w:r>
      <w:r>
        <w:rPr>
          <w:rFonts w:hint="eastAsia" w:ascii="仿宋_GB2312" w:hAnsi="ˎ̥" w:eastAsia="仿宋_GB2312" w:cs="Arial"/>
          <w:kern w:val="0"/>
          <w:sz w:val="32"/>
          <w:szCs w:val="32"/>
        </w:rPr>
        <w:t>对</w:t>
      </w:r>
      <w:r>
        <w:rPr>
          <w:rFonts w:hint="eastAsia" w:ascii="仿宋_GB2312" w:hAnsi="ˎ̥" w:eastAsia="仿宋_GB2312" w:cs="Arial"/>
          <w:kern w:val="0"/>
          <w:sz w:val="32"/>
          <w:szCs w:val="32"/>
          <w:lang w:eastAsia="zh-CN"/>
        </w:rPr>
        <w:t>质量管理体系</w:t>
      </w:r>
      <w:r>
        <w:rPr>
          <w:rFonts w:hint="eastAsia" w:ascii="仿宋_GB2312" w:hAnsi="ˎ̥" w:eastAsia="仿宋_GB2312" w:cs="Arial"/>
          <w:kern w:val="0"/>
          <w:sz w:val="32"/>
          <w:szCs w:val="32"/>
        </w:rPr>
        <w:t>开展自查</w:t>
      </w:r>
      <w:r>
        <w:rPr>
          <w:rFonts w:hint="eastAsia" w:ascii="仿宋_GB2312" w:hAnsi="ˎ̥" w:eastAsia="仿宋_GB2312" w:cs="Arial"/>
          <w:kern w:val="0"/>
          <w:sz w:val="32"/>
          <w:szCs w:val="32"/>
          <w:lang w:eastAsia="zh-CN"/>
        </w:rPr>
        <w:t>并形成自查报告。</w:t>
      </w:r>
    </w:p>
    <w:p w14:paraId="0F0CAD89">
      <w:pPr>
        <w:pStyle w:val="10"/>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（五）纵深推进风险会商</w:t>
      </w:r>
    </w:p>
    <w:p w14:paraId="382004B1">
      <w:pPr>
        <w:pStyle w:val="10"/>
        <w:keepNext w:val="0"/>
        <w:keepLines w:val="0"/>
        <w:pageBreakBefore w:val="0"/>
        <w:kinsoku/>
        <w:wordWrap/>
        <w:overflowPunct/>
        <w:topLinePunct w:val="0"/>
        <w:autoSpaceDE/>
        <w:autoSpaceDN/>
        <w:bidi w:val="0"/>
        <w:snapToGrid/>
        <w:spacing w:after="0" w:line="560" w:lineRule="exact"/>
        <w:ind w:left="0" w:leftChars="0" w:firstLine="627" w:firstLineChars="196"/>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Times New Roman" w:eastAsia="仿宋_GB2312" w:cs="Times New Roman"/>
          <w:b w:val="0"/>
          <w:bCs w:val="0"/>
          <w:sz w:val="32"/>
          <w:szCs w:val="32"/>
          <w:highlight w:val="none"/>
          <w:lang w:val="en-US" w:eastAsia="zh-CN"/>
        </w:rPr>
        <w:t>巩固深化风险会商机制，建立健全风险会商制度和机制，推动风险会商向基层监管延伸并跟踪督导。提高每季度医疗器械风险安全形势分析和风险会商制度机制落实质效。关注科学风险、法律风险、舆情风险，充分挖掘并有机整合许可备案、检查抽检、监测评价、网络监测、舆情监测、投诉举报等方面的风险信号，综合研判风险事项和管控措施，确保风险事项识别、研判、处置、销号的全程闭环管理，坚决防范系统性、区域性风险发生。</w:t>
      </w:r>
    </w:p>
    <w:p w14:paraId="3550ABBB">
      <w:pPr>
        <w:pStyle w:val="10"/>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（六）强化多部门协同联动执法</w:t>
      </w:r>
    </w:p>
    <w:p w14:paraId="7BA3545D">
      <w:pPr>
        <w:pStyle w:val="10"/>
        <w:spacing w:after="0" w:line="540" w:lineRule="exact"/>
        <w:ind w:left="0" w:leftChars="0" w:firstLine="627" w:firstLineChars="196"/>
        <w:rPr>
          <w:rFonts w:hint="eastAsia" w:ascii="仿宋_GB2312" w:eastAsia="仿宋_GB2312"/>
          <w:sz w:val="32"/>
          <w:szCs w:val="32"/>
          <w:lang w:eastAsia="zh-CN"/>
        </w:rPr>
      </w:pPr>
      <w:r>
        <w:rPr>
          <w:rFonts w:hint="eastAsia" w:ascii="仿宋_GB2312" w:eastAsia="仿宋_GB2312"/>
          <w:sz w:val="32"/>
          <w:szCs w:val="32"/>
          <w:lang w:eastAsia="zh-CN"/>
        </w:rPr>
        <w:t>各县（市、分）局要精准洞察违法新特点、深刻把握违法活动规律。强化“三医”协同发展和治理，加强与卫健、医保部门有关数据和信息交流，多元协同管控风险。积极配合卫生健康、税务等部门在医美领域、经营领域等的专项治理行动，加大部门协同力度。健全双向信息通报和案件移送工作机制，违法违规线索及时移交，非法行医和超范围使用问题通报和移送卫生健康主管部门，偷税漏税问题通报税务部门，非法网站问题通报或移送通信管理部门，虚假宣传和违法广告问题及时移送。</w:t>
      </w:r>
    </w:p>
    <w:p w14:paraId="704E4D17">
      <w:pPr>
        <w:pStyle w:val="10"/>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楷体_GB2312" w:hAnsi="Courier New" w:eastAsia="楷体_GB2312" w:cs="Courier New"/>
          <w:color w:val="auto"/>
          <w:kern w:val="2"/>
          <w:sz w:val="32"/>
          <w:szCs w:val="32"/>
          <w:lang w:val="en-US" w:eastAsia="zh-CN" w:bidi="ar-SA"/>
        </w:rPr>
      </w:pPr>
      <w:r>
        <w:rPr>
          <w:rFonts w:hint="eastAsia" w:ascii="楷体_GB2312" w:hAnsi="Courier New" w:eastAsia="楷体_GB2312" w:cs="Courier New"/>
          <w:color w:val="auto"/>
          <w:kern w:val="2"/>
          <w:sz w:val="32"/>
          <w:szCs w:val="32"/>
          <w:lang w:val="en-US" w:eastAsia="zh-CN" w:bidi="ar-SA"/>
        </w:rPr>
        <w:t>（七）加强社会共治共享</w:t>
      </w:r>
    </w:p>
    <w:p w14:paraId="0181847D">
      <w:pPr>
        <w:keepNext w:val="0"/>
        <w:keepLines w:val="0"/>
        <w:pageBreakBefore w:val="0"/>
        <w:widowControl/>
        <w:numPr>
          <w:ilvl w:val="0"/>
          <w:numId w:val="0"/>
        </w:numPr>
        <w:kinsoku/>
        <w:wordWrap/>
        <w:topLinePunct w:val="0"/>
        <w:autoSpaceDE/>
        <w:autoSpaceDN/>
        <w:bidi w:val="0"/>
        <w:adjustRightInd w:val="0"/>
        <w:snapToGrid w:val="0"/>
        <w:spacing w:line="580" w:lineRule="exact"/>
        <w:ind w:firstLine="643" w:firstLineChars="200"/>
        <w:jc w:val="both"/>
        <w:textAlignment w:val="auto"/>
        <w:rPr>
          <w:rFonts w:hint="default"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b/>
          <w:bCs/>
          <w:kern w:val="2"/>
          <w:sz w:val="32"/>
          <w:szCs w:val="32"/>
          <w:lang w:val="en-US" w:eastAsia="zh-CN" w:bidi="ar-SA"/>
        </w:rPr>
        <w:t>1.加大普法宣贯培训。</w:t>
      </w:r>
      <w:r>
        <w:rPr>
          <w:rFonts w:hint="default" w:ascii="仿宋_GB2312" w:hAnsi="Times New Roman" w:eastAsia="仿宋_GB2312" w:cs="Times New Roman"/>
          <w:kern w:val="2"/>
          <w:sz w:val="32"/>
          <w:szCs w:val="32"/>
          <w:lang w:val="en-US" w:eastAsia="zh-CN" w:bidi="ar-SA"/>
        </w:rPr>
        <w:t>要持续探索普法新方式，增强监管普法成效。推动面向医疗器械</w:t>
      </w:r>
      <w:r>
        <w:rPr>
          <w:rFonts w:hint="eastAsia" w:ascii="仿宋_GB2312" w:eastAsia="仿宋_GB2312" w:cs="Times New Roman"/>
          <w:kern w:val="2"/>
          <w:sz w:val="32"/>
          <w:szCs w:val="32"/>
          <w:lang w:val="en-US" w:eastAsia="zh-CN" w:bidi="ar-SA"/>
        </w:rPr>
        <w:t>生产（一类）</w:t>
      </w:r>
      <w:r>
        <w:rPr>
          <w:rFonts w:hint="default" w:ascii="仿宋_GB2312" w:hAnsi="Times New Roman" w:eastAsia="仿宋_GB2312" w:cs="Times New Roman"/>
          <w:kern w:val="2"/>
          <w:sz w:val="32"/>
          <w:szCs w:val="32"/>
          <w:lang w:val="en-US" w:eastAsia="zh-CN" w:bidi="ar-SA"/>
        </w:rPr>
        <w:t>经营企业</w:t>
      </w:r>
      <w:r>
        <w:rPr>
          <w:rFonts w:hint="eastAsia" w:ascii="仿宋_GB2312" w:hAnsi="Times New Roman" w:eastAsia="仿宋_GB2312" w:cs="Times New Roman"/>
          <w:kern w:val="2"/>
          <w:sz w:val="32"/>
          <w:szCs w:val="32"/>
          <w:lang w:val="en-US" w:eastAsia="zh-CN" w:bidi="ar-SA"/>
        </w:rPr>
        <w:t>、使用单位</w:t>
      </w:r>
      <w:r>
        <w:rPr>
          <w:rFonts w:hint="default" w:ascii="仿宋_GB2312" w:hAnsi="Times New Roman" w:eastAsia="仿宋_GB2312" w:cs="Times New Roman"/>
          <w:kern w:val="2"/>
          <w:sz w:val="32"/>
          <w:szCs w:val="32"/>
          <w:lang w:val="en-US" w:eastAsia="zh-CN" w:bidi="ar-SA"/>
        </w:rPr>
        <w:t>的精准普法，从</w:t>
      </w:r>
      <w:r>
        <w:rPr>
          <w:rFonts w:hint="eastAsia" w:ascii="仿宋_GB2312" w:hAnsi="Times New Roman" w:eastAsia="仿宋_GB2312" w:cs="Times New Roman"/>
          <w:kern w:val="2"/>
          <w:sz w:val="32"/>
          <w:szCs w:val="32"/>
          <w:lang w:val="en-US" w:eastAsia="zh-CN" w:bidi="ar-SA"/>
        </w:rPr>
        <w:t>根源</w:t>
      </w:r>
      <w:r>
        <w:rPr>
          <w:rFonts w:hint="default" w:ascii="仿宋_GB2312" w:hAnsi="Times New Roman" w:eastAsia="仿宋_GB2312" w:cs="Times New Roman"/>
          <w:kern w:val="2"/>
          <w:sz w:val="32"/>
          <w:szCs w:val="32"/>
          <w:lang w:val="en-US" w:eastAsia="zh-CN" w:bidi="ar-SA"/>
        </w:rPr>
        <w:t>提升企业</w:t>
      </w:r>
      <w:r>
        <w:rPr>
          <w:rFonts w:hint="eastAsia" w:ascii="仿宋_GB2312" w:hAnsi="Times New Roman" w:eastAsia="仿宋_GB2312" w:cs="Times New Roman"/>
          <w:kern w:val="2"/>
          <w:sz w:val="32"/>
          <w:szCs w:val="32"/>
          <w:lang w:val="en-US" w:eastAsia="zh-CN" w:bidi="ar-SA"/>
        </w:rPr>
        <w:t>（单位）</w:t>
      </w:r>
      <w:r>
        <w:rPr>
          <w:rFonts w:hint="default" w:ascii="仿宋_GB2312" w:hAnsi="Times New Roman" w:eastAsia="仿宋_GB2312" w:cs="Times New Roman"/>
          <w:kern w:val="2"/>
          <w:sz w:val="32"/>
          <w:szCs w:val="32"/>
          <w:lang w:val="en-US" w:eastAsia="zh-CN" w:bidi="ar-SA"/>
        </w:rPr>
        <w:t>合规意识和法治素养。</w:t>
      </w:r>
      <w:r>
        <w:rPr>
          <w:rFonts w:hint="eastAsia" w:ascii="仿宋_GB2312" w:hAnsi="Times New Roman" w:eastAsia="仿宋_GB2312" w:cs="Times New Roman"/>
          <w:kern w:val="2"/>
          <w:sz w:val="32"/>
          <w:szCs w:val="32"/>
          <w:lang w:val="en-US" w:eastAsia="zh-CN" w:bidi="ar-SA"/>
        </w:rPr>
        <w:t>重点</w:t>
      </w:r>
      <w:r>
        <w:rPr>
          <w:rFonts w:hint="default" w:ascii="仿宋_GB2312" w:hAnsi="Times New Roman" w:eastAsia="仿宋_GB2312" w:cs="Times New Roman"/>
          <w:kern w:val="2"/>
          <w:sz w:val="32"/>
          <w:szCs w:val="32"/>
          <w:lang w:val="en-US" w:eastAsia="zh-CN" w:bidi="ar-SA"/>
        </w:rPr>
        <w:t>围绕《医疗器械使用质量监督管理办法》《医疗器械经营质量管理规范》《医疗器械网络销售质量管理规范》等制度规范开展专题培训，提升监管与从业水平。</w:t>
      </w:r>
    </w:p>
    <w:p w14:paraId="6B5B904D">
      <w:pPr>
        <w:pStyle w:val="10"/>
        <w:keepNext w:val="0"/>
        <w:keepLines w:val="0"/>
        <w:pageBreakBefore w:val="0"/>
        <w:kinsoku/>
        <w:wordWrap/>
        <w:overflowPunct/>
        <w:topLinePunct w:val="0"/>
        <w:autoSpaceDE/>
        <w:autoSpaceDN/>
        <w:bidi w:val="0"/>
        <w:snapToGrid/>
        <w:spacing w:after="0" w:line="560" w:lineRule="exact"/>
        <w:ind w:left="0" w:leftChars="0" w:firstLine="630" w:firstLineChars="196"/>
        <w:textAlignment w:val="auto"/>
        <w:rPr>
          <w:rFonts w:hint="eastAsia" w:ascii="仿宋_GB2312" w:hAnsi="仿宋_GB2312" w:eastAsia="仿宋_GB2312" w:cs="仿宋_GB2312"/>
          <w:b/>
          <w:bCs/>
          <w:color w:val="000000"/>
          <w:kern w:val="0"/>
          <w:sz w:val="31"/>
          <w:szCs w:val="31"/>
          <w:lang w:val="en-US" w:eastAsia="zh-CN" w:bidi="ar"/>
        </w:rPr>
      </w:pPr>
      <w:r>
        <w:rPr>
          <w:rFonts w:hint="eastAsia" w:ascii="仿宋_GB2312" w:hAnsi="Times New Roman" w:eastAsia="仿宋_GB2312" w:cs="Times New Roman"/>
          <w:b/>
          <w:bCs/>
          <w:kern w:val="2"/>
          <w:sz w:val="32"/>
          <w:szCs w:val="32"/>
          <w:lang w:val="en-US" w:eastAsia="zh-CN" w:bidi="ar-SA"/>
        </w:rPr>
        <w:t>2.</w:t>
      </w:r>
      <w:r>
        <w:rPr>
          <w:rFonts w:hint="default" w:ascii="仿宋_GB2312" w:hAnsi="Times New Roman" w:eastAsia="仿宋_GB2312" w:cs="Times New Roman"/>
          <w:b/>
          <w:bCs/>
          <w:kern w:val="2"/>
          <w:sz w:val="32"/>
          <w:szCs w:val="32"/>
          <w:lang w:val="en-US" w:eastAsia="zh-CN" w:bidi="ar-SA"/>
        </w:rPr>
        <w:t>宣传安全用械常识。</w:t>
      </w:r>
      <w:r>
        <w:rPr>
          <w:rFonts w:hint="eastAsia" w:ascii="仿宋_GB2312" w:eastAsia="仿宋_GB2312" w:cs="Times New Roman"/>
          <w:kern w:val="2"/>
          <w:sz w:val="32"/>
          <w:szCs w:val="32"/>
          <w:lang w:val="en-US" w:eastAsia="zh-CN" w:bidi="ar-SA"/>
        </w:rPr>
        <w:t>探索</w:t>
      </w:r>
      <w:r>
        <w:rPr>
          <w:rFonts w:hint="eastAsia" w:ascii="仿宋_GB2312" w:hAnsi="Times New Roman" w:eastAsia="仿宋_GB2312" w:cs="Times New Roman"/>
          <w:kern w:val="2"/>
          <w:sz w:val="32"/>
          <w:szCs w:val="32"/>
          <w:lang w:val="en-US" w:eastAsia="zh-CN" w:bidi="ar-SA"/>
        </w:rPr>
        <w:t>采取</w:t>
      </w:r>
      <w:r>
        <w:rPr>
          <w:rFonts w:hint="default" w:ascii="仿宋_GB2312" w:hAnsi="Times New Roman" w:eastAsia="仿宋_GB2312" w:cs="Times New Roman"/>
          <w:kern w:val="2"/>
          <w:sz w:val="32"/>
          <w:szCs w:val="32"/>
          <w:lang w:val="en-US" w:eastAsia="zh-CN" w:bidi="ar-SA"/>
        </w:rPr>
        <w:t>“互联网+科普”宣传模式</w:t>
      </w:r>
      <w:r>
        <w:rPr>
          <w:rFonts w:hint="eastAsia" w:ascii="仿宋_GB2312" w:hAnsi="Times New Roman" w:eastAsia="仿宋_GB2312" w:cs="Times New Roman"/>
          <w:kern w:val="2"/>
          <w:sz w:val="32"/>
          <w:szCs w:val="32"/>
          <w:lang w:val="en-US" w:eastAsia="zh-CN" w:bidi="ar-SA"/>
        </w:rPr>
        <w:t>，结合药品安全宣传月，</w:t>
      </w:r>
      <w:r>
        <w:rPr>
          <w:rFonts w:hint="default" w:ascii="仿宋_GB2312" w:hAnsi="Times New Roman" w:eastAsia="仿宋_GB2312" w:cs="Times New Roman"/>
          <w:kern w:val="2"/>
          <w:sz w:val="32"/>
          <w:szCs w:val="32"/>
          <w:lang w:val="en-US" w:eastAsia="zh-CN" w:bidi="ar-SA"/>
        </w:rPr>
        <w:t>聚焦助听器、OK镜、医美产品、治疗仪等群众身边常见常用医疗器械，通过海报、视频等方式加大科普宣传力度，扩大科普人群范围，丰富公众用械常识，提升安全用械意识，消除违法违规宣传产生的健康危害。</w:t>
      </w:r>
    </w:p>
    <w:p w14:paraId="76CA7F33">
      <w:pPr>
        <w:spacing w:line="580" w:lineRule="exact"/>
        <w:ind w:firstLine="627" w:firstLineChars="196"/>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、工作要求</w:t>
      </w:r>
    </w:p>
    <w:p w14:paraId="19699671">
      <w:pPr>
        <w:spacing w:line="580" w:lineRule="exact"/>
        <w:ind w:firstLine="627" w:firstLineChars="196"/>
        <w:rPr>
          <w:rFonts w:ascii="仿宋_GB2312" w:hAnsi="Courier New" w:eastAsia="仿宋_GB2312" w:cs="Courier New"/>
          <w:color w:val="auto"/>
          <w:sz w:val="32"/>
          <w:szCs w:val="32"/>
        </w:rPr>
      </w:pPr>
      <w:r>
        <w:rPr>
          <w:rFonts w:hint="eastAsia" w:ascii="楷体_GB2312" w:hAnsi="Courier New" w:eastAsia="楷体_GB2312" w:cs="Courier New"/>
          <w:color w:val="auto"/>
          <w:sz w:val="32"/>
          <w:szCs w:val="32"/>
        </w:rPr>
        <w:t>（一）提高站位，落实监管责任。</w:t>
      </w:r>
      <w:r>
        <w:rPr>
          <w:rFonts w:hint="eastAsia" w:ascii="仿宋_GB2312" w:hAnsi="Courier New" w:eastAsia="仿宋_GB2312" w:cs="Courier New"/>
          <w:color w:val="auto"/>
          <w:sz w:val="32"/>
          <w:szCs w:val="32"/>
        </w:rPr>
        <w:t>各单位要准确把握当前监管形势，聚焦监管重点任务，健全完善监管体系，全面提升监管能力。科学明晰监管事权划分，理顺监管职责分工，强化对基层监管部门的业务指导与监督督导，确保各项工作部署到位、责任落实到位。</w:t>
      </w:r>
    </w:p>
    <w:p w14:paraId="07F0AABD">
      <w:pPr>
        <w:spacing w:line="560" w:lineRule="exact"/>
        <w:ind w:firstLine="627" w:firstLineChars="196"/>
        <w:rPr>
          <w:rFonts w:hint="eastAsia" w:ascii="仿宋_GB2312" w:hAnsi="Courier New" w:eastAsia="仿宋_GB2312" w:cs="Courier New"/>
          <w:color w:val="auto"/>
          <w:sz w:val="32"/>
          <w:szCs w:val="32"/>
          <w:lang w:eastAsia="zh-CN"/>
        </w:rPr>
      </w:pPr>
      <w:r>
        <w:rPr>
          <w:rFonts w:hint="eastAsia" w:ascii="楷体_GB2312" w:hAnsi="Courier New" w:eastAsia="楷体_GB2312" w:cs="Courier New"/>
          <w:color w:val="auto"/>
          <w:sz w:val="32"/>
          <w:szCs w:val="32"/>
        </w:rPr>
        <w:t>（二）积极探索，创新监管模式。</w:t>
      </w:r>
      <w:r>
        <w:rPr>
          <w:rFonts w:hint="eastAsia" w:ascii="仿宋_GB2312" w:hAnsi="Courier New" w:eastAsia="仿宋_GB2312" w:cs="Courier New"/>
          <w:color w:val="auto"/>
          <w:sz w:val="32"/>
          <w:szCs w:val="32"/>
        </w:rPr>
        <w:t>各单位要立足辖区实际，充分运用“互联网 +”等信息化手段，持续深化“放管服”改革。进一步拓宽工作思路、找准工作切入点，积极探索创新监管理念、监管制度与监管举措，以务实举措破解监管难题，奋力推动监管工作取得新成效</w:t>
      </w:r>
      <w:r>
        <w:rPr>
          <w:rFonts w:hint="eastAsia" w:ascii="仿宋_GB2312" w:hAnsi="Courier New" w:eastAsia="仿宋_GB2312" w:cs="Courier New"/>
          <w:color w:val="auto"/>
          <w:sz w:val="32"/>
          <w:szCs w:val="32"/>
          <w:lang w:eastAsia="zh-CN"/>
        </w:rPr>
        <w:t>。</w:t>
      </w:r>
    </w:p>
    <w:p w14:paraId="0F3D8492">
      <w:pPr>
        <w:spacing w:line="580" w:lineRule="exact"/>
        <w:ind w:firstLine="627" w:firstLineChars="196"/>
        <w:rPr>
          <w:rFonts w:hint="eastAsia" w:ascii="仿宋_GB2312" w:hAnsi="仿宋" w:eastAsia="仿宋_GB2312" w:cs="Arial"/>
          <w:color w:val="auto"/>
          <w:sz w:val="32"/>
          <w:szCs w:val="32"/>
        </w:rPr>
      </w:pPr>
      <w:r>
        <w:rPr>
          <w:rFonts w:hint="eastAsia" w:ascii="楷体_GB2312" w:hAnsi="Courier New" w:eastAsia="楷体_GB2312" w:cs="Courier New"/>
          <w:color w:val="auto"/>
          <w:sz w:val="32"/>
          <w:szCs w:val="32"/>
        </w:rPr>
        <w:t>（</w:t>
      </w:r>
      <w:r>
        <w:rPr>
          <w:rFonts w:hint="eastAsia" w:ascii="楷体_GB2312" w:hAnsi="Courier New" w:eastAsia="楷体_GB2312" w:cs="Courier New"/>
          <w:color w:val="auto"/>
          <w:sz w:val="32"/>
          <w:szCs w:val="32"/>
          <w:lang w:eastAsia="zh-CN"/>
        </w:rPr>
        <w:t>三</w:t>
      </w:r>
      <w:r>
        <w:rPr>
          <w:rFonts w:hint="eastAsia" w:ascii="楷体_GB2312" w:hAnsi="Courier New" w:eastAsia="楷体_GB2312" w:cs="Courier New"/>
          <w:color w:val="auto"/>
          <w:sz w:val="32"/>
          <w:szCs w:val="32"/>
        </w:rPr>
        <w:t>）</w:t>
      </w:r>
      <w:r>
        <w:rPr>
          <w:rFonts w:hint="eastAsia" w:ascii="楷体_GB2312" w:hAnsi="Courier New" w:eastAsia="楷体_GB2312" w:cs="Courier New"/>
          <w:color w:val="auto"/>
          <w:sz w:val="32"/>
          <w:szCs w:val="32"/>
          <w:lang w:eastAsia="zh-CN"/>
        </w:rPr>
        <w:t>认真统计</w:t>
      </w:r>
      <w:r>
        <w:rPr>
          <w:rFonts w:hint="eastAsia" w:ascii="楷体_GB2312" w:hAnsi="Courier New" w:eastAsia="楷体_GB2312" w:cs="Courier New"/>
          <w:color w:val="auto"/>
          <w:sz w:val="32"/>
          <w:szCs w:val="32"/>
        </w:rPr>
        <w:t>，</w:t>
      </w:r>
      <w:r>
        <w:rPr>
          <w:rFonts w:hint="eastAsia" w:ascii="楷体_GB2312" w:hAnsi="Courier New" w:eastAsia="楷体_GB2312" w:cs="Courier New"/>
          <w:color w:val="auto"/>
          <w:sz w:val="32"/>
          <w:szCs w:val="32"/>
          <w:lang w:eastAsia="zh-CN"/>
        </w:rPr>
        <w:t>报送相关数据</w:t>
      </w:r>
      <w:r>
        <w:rPr>
          <w:rFonts w:hint="eastAsia" w:ascii="楷体_GB2312" w:hAnsi="Courier New" w:eastAsia="楷体_GB2312" w:cs="Courier New"/>
          <w:color w:val="auto"/>
          <w:sz w:val="32"/>
          <w:szCs w:val="32"/>
        </w:rPr>
        <w:t>。</w:t>
      </w:r>
      <w:r>
        <w:rPr>
          <w:rFonts w:hint="eastAsia" w:ascii="仿宋_GB2312" w:eastAsia="仿宋_GB2312"/>
          <w:color w:val="auto"/>
          <w:sz w:val="32"/>
          <w:szCs w:val="32"/>
          <w:highlight w:val="none"/>
          <w:lang w:val="en-US" w:eastAsia="zh-CN"/>
        </w:rPr>
        <w:t>每季度末月下旬报送本季度风险会商情况、风险消除情况和</w:t>
      </w:r>
      <w:r>
        <w:rPr>
          <w:rFonts w:hint="eastAsia" w:ascii="仿宋_GB2312" w:eastAsia="仿宋_GB2312"/>
          <w:bCs/>
          <w:color w:val="auto"/>
          <w:sz w:val="32"/>
          <w:szCs w:val="32"/>
          <w:u w:val="none"/>
          <w:lang w:eastAsia="zh-CN"/>
        </w:rPr>
        <w:t>《</w:t>
      </w:r>
      <w:r>
        <w:rPr>
          <w:rFonts w:hint="eastAsia" w:ascii="Times New Roman" w:hAnsi="Times New Roman" w:eastAsia="仿宋_GB2312" w:cs="Times New Roman"/>
          <w:sz w:val="32"/>
          <w:szCs w:val="32"/>
          <w:lang w:val="en-US" w:eastAsia="zh-CN"/>
        </w:rPr>
        <w:t>2026</w:t>
      </w:r>
      <w:r>
        <w:rPr>
          <w:rFonts w:hint="eastAsia" w:ascii="仿宋_GB2312" w:eastAsia="仿宋_GB2312"/>
          <w:bCs/>
          <w:color w:val="auto"/>
          <w:sz w:val="32"/>
          <w:szCs w:val="32"/>
          <w:u w:val="none"/>
          <w:lang w:val="en-US" w:eastAsia="zh-CN"/>
        </w:rPr>
        <w:t>年第X季度重点品种医疗器械监管工作情况汇总表</w:t>
      </w:r>
      <w:r>
        <w:rPr>
          <w:rFonts w:hint="eastAsia" w:ascii="仿宋_GB2312" w:eastAsia="仿宋_GB2312"/>
          <w:bCs/>
          <w:color w:val="auto"/>
          <w:sz w:val="32"/>
          <w:szCs w:val="32"/>
          <w:u w:val="none"/>
          <w:lang w:eastAsia="zh-CN"/>
        </w:rPr>
        <w:t>》</w:t>
      </w:r>
      <w:r>
        <w:rPr>
          <w:rFonts w:hint="eastAsia" w:ascii="仿宋_GB2312" w:eastAsia="仿宋_GB2312"/>
          <w:color w:val="auto"/>
          <w:sz w:val="32"/>
          <w:szCs w:val="32"/>
          <w:lang w:eastAsia="zh-CN"/>
        </w:rPr>
        <w:t>（附件</w:t>
      </w:r>
      <w:r>
        <w:rPr>
          <w:rFonts w:hint="eastAsia" w:ascii="Times New Roman" w:hAnsi="Times New Roman" w:eastAsia="仿宋_GB2312" w:cs="Times New Roman"/>
          <w:sz w:val="32"/>
          <w:szCs w:val="32"/>
          <w:lang w:val="en-US" w:eastAsia="zh-CN"/>
        </w:rPr>
        <w:t>1</w:t>
      </w:r>
      <w:r>
        <w:rPr>
          <w:rFonts w:hint="eastAsia" w:ascii="仿宋_GB2312" w:eastAsia="仿宋_GB2312"/>
          <w:color w:val="auto"/>
          <w:sz w:val="32"/>
          <w:szCs w:val="32"/>
          <w:lang w:eastAsia="zh-CN"/>
        </w:rPr>
        <w:t>）；</w:t>
      </w:r>
      <w:r>
        <w:rPr>
          <w:rFonts w:hint="eastAsia" w:ascii="Times New Roman" w:hAnsi="Times New Roman" w:eastAsia="仿宋_GB2312" w:cs="Times New Roman"/>
          <w:sz w:val="32"/>
          <w:szCs w:val="32"/>
          <w:lang w:val="en-US" w:eastAsia="zh-CN"/>
        </w:rPr>
        <w:t>2026</w:t>
      </w:r>
      <w:r>
        <w:rPr>
          <w:rFonts w:hint="eastAsia" w:ascii="仿宋_GB2312" w:eastAsia="仿宋_GB2312"/>
          <w:color w:val="auto"/>
          <w:sz w:val="32"/>
          <w:szCs w:val="32"/>
          <w:lang w:val="en-US" w:eastAsia="zh-CN"/>
        </w:rPr>
        <w:t>年</w:t>
      </w:r>
      <w:r>
        <w:rPr>
          <w:rFonts w:hint="eastAsia" w:ascii="Times New Roman" w:hAnsi="Times New Roman" w:eastAsia="仿宋_GB2312" w:cs="Times New Roman"/>
          <w:sz w:val="32"/>
          <w:szCs w:val="32"/>
          <w:lang w:val="en-US" w:eastAsia="zh-CN"/>
        </w:rPr>
        <w:t>12</w:t>
      </w:r>
      <w:r>
        <w:rPr>
          <w:rFonts w:hint="eastAsia" w:ascii="仿宋_GB2312" w:eastAsia="仿宋_GB2312"/>
          <w:color w:val="auto"/>
          <w:sz w:val="32"/>
          <w:szCs w:val="32"/>
          <w:lang w:val="en-US" w:eastAsia="zh-CN"/>
        </w:rPr>
        <w:t>月</w:t>
      </w:r>
      <w:r>
        <w:rPr>
          <w:rFonts w:hint="eastAsia" w:ascii="Times New Roman" w:hAnsi="Times New Roman" w:eastAsia="仿宋_GB2312" w:cs="Times New Roman"/>
          <w:sz w:val="32"/>
          <w:szCs w:val="32"/>
          <w:lang w:val="en-US" w:eastAsia="zh-CN"/>
        </w:rPr>
        <w:t>20</w:t>
      </w:r>
      <w:r>
        <w:rPr>
          <w:rFonts w:hint="eastAsia" w:ascii="仿宋_GB2312" w:eastAsia="仿宋_GB2312"/>
          <w:color w:val="auto"/>
          <w:sz w:val="32"/>
          <w:szCs w:val="32"/>
          <w:lang w:val="en-US" w:eastAsia="zh-CN"/>
        </w:rPr>
        <w:t>日前将</w:t>
      </w:r>
      <w:r>
        <w:rPr>
          <w:rFonts w:hint="eastAsia" w:ascii="仿宋_GB2312" w:eastAsia="仿宋_GB2312"/>
          <w:sz w:val="32"/>
          <w:szCs w:val="32"/>
          <w:lang w:eastAsia="zh-CN"/>
        </w:rPr>
        <w:t>年度监管工作总结（</w:t>
      </w:r>
      <w:r>
        <w:rPr>
          <w:rFonts w:hint="eastAsia" w:ascii="仿宋_GB2312" w:eastAsia="仿宋_GB2312"/>
          <w:sz w:val="32"/>
          <w:szCs w:val="32"/>
        </w:rPr>
        <w:t>内容包括辖区监管现状、工作</w:t>
      </w:r>
      <w:r>
        <w:rPr>
          <w:rFonts w:hint="eastAsia" w:ascii="仿宋_GB2312" w:eastAsia="仿宋_GB2312"/>
          <w:sz w:val="32"/>
          <w:szCs w:val="32"/>
          <w:lang w:eastAsia="zh-CN"/>
        </w:rPr>
        <w:t>亮点</w:t>
      </w:r>
      <w:r>
        <w:rPr>
          <w:rFonts w:hint="eastAsia" w:ascii="仿宋_GB2312" w:eastAsia="仿宋_GB2312"/>
          <w:sz w:val="32"/>
          <w:szCs w:val="32"/>
        </w:rPr>
        <w:t>、创新监管方式、工作成效、</w:t>
      </w:r>
      <w:r>
        <w:rPr>
          <w:rFonts w:hint="eastAsia" w:ascii="仿宋_GB2312" w:eastAsia="仿宋_GB2312"/>
          <w:sz w:val="32"/>
          <w:szCs w:val="32"/>
          <w:lang w:eastAsia="zh-CN"/>
        </w:rPr>
        <w:t>下一步工作</w:t>
      </w:r>
      <w:r>
        <w:rPr>
          <w:rFonts w:hint="eastAsia" w:ascii="仿宋_GB2312" w:eastAsia="仿宋_GB2312"/>
          <w:sz w:val="32"/>
          <w:szCs w:val="32"/>
        </w:rPr>
        <w:t>建议等方面</w:t>
      </w:r>
      <w:r>
        <w:rPr>
          <w:rFonts w:hint="eastAsia" w:ascii="仿宋_GB2312" w:eastAsia="仿宋_GB2312"/>
          <w:sz w:val="32"/>
          <w:szCs w:val="32"/>
          <w:lang w:eastAsia="zh-CN"/>
        </w:rPr>
        <w:t>）和</w:t>
      </w:r>
      <w:r>
        <w:rPr>
          <w:rFonts w:hint="eastAsia" w:ascii="仿宋_GB2312" w:eastAsia="仿宋_GB2312"/>
          <w:color w:val="auto"/>
          <w:sz w:val="32"/>
          <w:szCs w:val="32"/>
          <w:lang w:val="en-US" w:eastAsia="zh-CN"/>
        </w:rPr>
        <w:t>《三门峡市2026年度医疗器械经营企业信息表》《三门峡</w:t>
      </w:r>
      <w:r>
        <w:rPr>
          <w:rFonts w:hint="eastAsia" w:ascii="Times New Roman" w:hAnsi="Times New Roman" w:eastAsia="仿宋_GB2312" w:cs="Times New Roman"/>
          <w:sz w:val="32"/>
          <w:szCs w:val="32"/>
          <w:lang w:val="en-US" w:eastAsia="zh-CN"/>
        </w:rPr>
        <w:t>2026</w:t>
      </w:r>
      <w:r>
        <w:rPr>
          <w:rFonts w:hint="eastAsia" w:ascii="仿宋_GB2312" w:eastAsia="仿宋_GB2312"/>
          <w:color w:val="auto"/>
          <w:sz w:val="32"/>
          <w:szCs w:val="32"/>
          <w:lang w:val="en-US" w:eastAsia="zh-CN"/>
        </w:rPr>
        <w:t>年度医疗器械使用单位信息表》《医疗器械经营企业统计表》《医疗器械使用单位统计表》（附件</w:t>
      </w:r>
      <w:r>
        <w:rPr>
          <w:rFonts w:hint="eastAsia" w:ascii="Times New Roman" w:hAnsi="Times New Roman" w:eastAsia="仿宋_GB2312" w:cs="Times New Roman"/>
          <w:sz w:val="32"/>
          <w:szCs w:val="32"/>
          <w:lang w:val="en-US" w:eastAsia="zh-CN"/>
        </w:rPr>
        <w:t>2-5</w:t>
      </w:r>
      <w:r>
        <w:rPr>
          <w:rFonts w:hint="eastAsia" w:ascii="仿宋_GB2312" w:eastAsia="仿宋_GB2312"/>
          <w:color w:val="auto"/>
          <w:sz w:val="32"/>
          <w:szCs w:val="32"/>
          <w:lang w:val="en-US" w:eastAsia="zh-CN"/>
        </w:rPr>
        <w:t>）一并报送至市局医疗器械监管科。</w:t>
      </w:r>
    </w:p>
    <w:p w14:paraId="109C617C">
      <w:pPr>
        <w:spacing w:line="580" w:lineRule="exact"/>
        <w:ind w:firstLine="627" w:firstLineChars="196"/>
        <w:rPr>
          <w:rFonts w:hint="eastAsia" w:ascii="仿宋_GB2312" w:hAnsi="Courier New" w:eastAsia="仿宋_GB2312" w:cs="Courier New"/>
          <w:sz w:val="32"/>
          <w:szCs w:val="32"/>
          <w:lang w:val="en-US" w:eastAsia="zh-CN"/>
        </w:rPr>
      </w:pPr>
      <w:r>
        <w:rPr>
          <w:rFonts w:hint="eastAsia" w:ascii="仿宋_GB2312" w:hAnsi="Courier New" w:eastAsia="仿宋_GB2312" w:cs="Courier New"/>
          <w:sz w:val="32"/>
          <w:szCs w:val="32"/>
        </w:rPr>
        <w:t>联系人：</w:t>
      </w:r>
      <w:r>
        <w:rPr>
          <w:rFonts w:hint="eastAsia" w:ascii="仿宋_GB2312" w:hAnsi="Courier New" w:eastAsia="仿宋_GB2312" w:cs="Courier New"/>
          <w:sz w:val="32"/>
          <w:szCs w:val="32"/>
          <w:lang w:eastAsia="zh-CN"/>
        </w:rPr>
        <w:t>张</w:t>
      </w:r>
      <w:r>
        <w:rPr>
          <w:rFonts w:hint="eastAsia" w:ascii="仿宋_GB2312" w:hAnsi="Courier New" w:eastAsia="仿宋_GB2312" w:cs="Courier New"/>
          <w:sz w:val="32"/>
          <w:szCs w:val="32"/>
          <w:lang w:val="en-US" w:eastAsia="zh-CN"/>
        </w:rPr>
        <w:t xml:space="preserve"> </w:t>
      </w:r>
      <w:r>
        <w:rPr>
          <w:rFonts w:hint="eastAsia" w:ascii="仿宋_GB2312" w:hAnsi="Courier New" w:eastAsia="仿宋_GB2312" w:cs="Courier New"/>
          <w:sz w:val="32"/>
          <w:szCs w:val="32"/>
          <w:lang w:eastAsia="zh-CN"/>
        </w:rPr>
        <w:t>园</w:t>
      </w:r>
      <w:r>
        <w:rPr>
          <w:rFonts w:hint="eastAsia" w:ascii="仿宋_GB2312" w:hAnsi="Courier New" w:eastAsia="仿宋_GB2312" w:cs="Courier New"/>
          <w:sz w:val="32"/>
          <w:szCs w:val="32"/>
          <w:lang w:val="en-US" w:eastAsia="zh-CN"/>
        </w:rPr>
        <w:t xml:space="preserve">           </w:t>
      </w:r>
      <w:r>
        <w:rPr>
          <w:rFonts w:hint="eastAsia" w:ascii="仿宋_GB2312" w:hAnsi="Courier New" w:eastAsia="仿宋_GB2312" w:cs="Courier New"/>
          <w:sz w:val="32"/>
          <w:szCs w:val="32"/>
        </w:rPr>
        <w:t>电</w:t>
      </w:r>
      <w:r>
        <w:rPr>
          <w:rFonts w:ascii="仿宋_GB2312" w:hAnsi="Courier New" w:eastAsia="仿宋_GB2312" w:cs="Courier New"/>
          <w:sz w:val="32"/>
          <w:szCs w:val="32"/>
        </w:rPr>
        <w:t xml:space="preserve">  </w:t>
      </w:r>
      <w:r>
        <w:rPr>
          <w:rFonts w:hint="eastAsia" w:ascii="仿宋_GB2312" w:hAnsi="Courier New" w:eastAsia="仿宋_GB2312" w:cs="Courier New"/>
          <w:sz w:val="32"/>
          <w:szCs w:val="32"/>
        </w:rPr>
        <w:t>话：</w:t>
      </w:r>
      <w:r>
        <w:rPr>
          <w:rFonts w:hint="eastAsia" w:ascii="Times New Roman" w:hAnsi="Times New Roman" w:eastAsia="仿宋_GB2312" w:cs="Times New Roman"/>
          <w:sz w:val="32"/>
          <w:szCs w:val="32"/>
          <w:lang w:val="en-US" w:eastAsia="zh-CN"/>
        </w:rPr>
        <w:t>2810098</w:t>
      </w:r>
    </w:p>
    <w:p w14:paraId="4408382F">
      <w:pPr>
        <w:spacing w:line="560" w:lineRule="exact"/>
        <w:ind w:firstLine="627" w:firstLineChars="196"/>
        <w:rPr>
          <w:rFonts w:ascii="仿宋_GB2312" w:hAnsi="Courier New" w:eastAsia="仿宋_GB2312" w:cs="Courier New"/>
          <w:sz w:val="32"/>
          <w:szCs w:val="32"/>
        </w:rPr>
      </w:pPr>
      <w:r>
        <w:rPr>
          <w:rFonts w:hint="eastAsia" w:ascii="仿宋_GB2312" w:hAnsi="Courier New" w:eastAsia="仿宋_GB2312" w:cs="Courier New"/>
          <w:sz w:val="32"/>
          <w:szCs w:val="32"/>
        </w:rPr>
        <w:t>邮</w:t>
      </w:r>
      <w:r>
        <w:rPr>
          <w:rFonts w:ascii="仿宋_GB2312" w:hAnsi="Courier New" w:eastAsia="仿宋_GB2312" w:cs="Courier New"/>
          <w:sz w:val="32"/>
          <w:szCs w:val="32"/>
        </w:rPr>
        <w:t xml:space="preserve">  </w:t>
      </w:r>
      <w:r>
        <w:rPr>
          <w:rFonts w:hint="eastAsia" w:ascii="仿宋_GB2312" w:hAnsi="Courier New" w:eastAsia="仿宋_GB2312" w:cs="Courier New"/>
          <w:sz w:val="32"/>
          <w:szCs w:val="32"/>
        </w:rPr>
        <w:t>箱：</w:t>
      </w:r>
      <w:r>
        <w:rPr>
          <w:rFonts w:hint="default" w:ascii="仿宋_GB2312" w:hAnsi="Courier New" w:eastAsia="仿宋_GB2312" w:cs="Courier New"/>
          <w:sz w:val="32"/>
          <w:szCs w:val="32"/>
          <w:lang w:val="en-US"/>
        </w:rPr>
        <w:t>smxqxk</w:t>
      </w:r>
      <w:r>
        <w:rPr>
          <w:rFonts w:ascii="仿宋_GB2312" w:hAnsi="Courier New" w:eastAsia="仿宋_GB2312" w:cs="Courier New"/>
          <w:sz w:val="32"/>
          <w:szCs w:val="32"/>
        </w:rPr>
        <w:t>@126.com</w:t>
      </w:r>
    </w:p>
    <w:p w14:paraId="096BCB2C">
      <w:pPr>
        <w:spacing w:line="560" w:lineRule="exact"/>
        <w:ind w:firstLine="627" w:firstLineChars="196"/>
        <w:rPr>
          <w:rFonts w:ascii="仿宋_GB2312" w:hAnsi="Courier New" w:eastAsia="仿宋_GB2312" w:cs="Courier New"/>
          <w:sz w:val="32"/>
          <w:szCs w:val="32"/>
        </w:rPr>
      </w:pPr>
    </w:p>
    <w:p w14:paraId="6E0B39E2">
      <w:pPr>
        <w:pStyle w:val="12"/>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eastAsia="仿宋_GB2312"/>
          <w:bCs/>
          <w:color w:val="auto"/>
          <w:sz w:val="32"/>
          <w:szCs w:val="32"/>
          <w:highlight w:val="none"/>
          <w:lang w:val="en-US" w:eastAsia="zh-CN"/>
        </w:rPr>
      </w:pPr>
      <w:r>
        <w:rPr>
          <w:rFonts w:hint="eastAsia" w:ascii="仿宋_GB2312" w:hAnsi="Courier New" w:eastAsia="仿宋_GB2312" w:cs="Courier New"/>
          <w:sz w:val="32"/>
          <w:szCs w:val="32"/>
        </w:rPr>
        <w:t>附件：</w:t>
      </w:r>
      <w:r>
        <w:rPr>
          <w:rFonts w:ascii="仿宋_GB2312" w:hAnsi="Courier New" w:eastAsia="仿宋_GB2312" w:cs="Courier New"/>
          <w:sz w:val="32"/>
          <w:szCs w:val="32"/>
        </w:rPr>
        <w:t>1.</w:t>
      </w:r>
      <w:r>
        <w:rPr>
          <w:rFonts w:hint="eastAsia" w:ascii="Times New Roman" w:hAnsi="Times New Roman" w:eastAsia="仿宋_GB2312" w:cs="Times New Roman"/>
          <w:kern w:val="2"/>
          <w:sz w:val="32"/>
          <w:szCs w:val="32"/>
          <w:lang w:val="en-US" w:eastAsia="zh-CN" w:bidi="ar-SA"/>
        </w:rPr>
        <w:t>2026</w:t>
      </w:r>
      <w:r>
        <w:rPr>
          <w:rFonts w:hint="eastAsia" w:ascii="仿宋_GB2312" w:eastAsia="仿宋_GB2312"/>
          <w:bCs/>
          <w:color w:val="auto"/>
          <w:sz w:val="32"/>
          <w:szCs w:val="32"/>
          <w:highlight w:val="none"/>
          <w:lang w:val="en-US" w:eastAsia="zh-CN"/>
        </w:rPr>
        <w:t>年第X季度重点品种医疗器械监管工作情况汇总表</w:t>
      </w:r>
    </w:p>
    <w:p w14:paraId="5241E3D5">
      <w:pPr>
        <w:spacing w:line="560" w:lineRule="exact"/>
        <w:ind w:firstLine="1600" w:firstLineChars="500"/>
        <w:rPr>
          <w:rFonts w:hint="eastAsia" w:ascii="仿宋_GB2312" w:eastAsia="仿宋_GB2312"/>
          <w:sz w:val="32"/>
          <w:szCs w:val="32"/>
        </w:rPr>
      </w:pPr>
      <w:r>
        <w:rPr>
          <w:rFonts w:hint="default" w:ascii="仿宋_GB2312" w:hAnsi="Courier New" w:eastAsia="仿宋_GB2312" w:cs="Courier New"/>
          <w:sz w:val="32"/>
          <w:szCs w:val="32"/>
          <w:lang w:val="en-US" w:eastAsia="zh-CN"/>
        </w:rPr>
        <w:t>2</w:t>
      </w:r>
      <w:r>
        <w:rPr>
          <w:rFonts w:hint="eastAsia" w:ascii="仿宋_GB2312" w:hAnsi="Courier New" w:eastAsia="仿宋_GB2312" w:cs="Courier New"/>
          <w:sz w:val="32"/>
          <w:szCs w:val="32"/>
          <w:lang w:val="en-US" w:eastAsia="zh-CN"/>
        </w:rPr>
        <w:t>.三门峡市</w:t>
      </w:r>
      <w:r>
        <w:rPr>
          <w:rFonts w:hint="eastAsia" w:ascii="Times New Roman" w:hAnsi="Times New Roman" w:eastAsia="仿宋_GB2312" w:cs="Times New Roman"/>
          <w:sz w:val="32"/>
          <w:szCs w:val="32"/>
          <w:lang w:val="en-US" w:eastAsia="zh-CN"/>
        </w:rPr>
        <w:t>2026</w:t>
      </w:r>
      <w:r>
        <w:rPr>
          <w:rFonts w:hint="eastAsia" w:ascii="仿宋_GB2312" w:hAnsi="Courier New" w:eastAsia="仿宋_GB2312" w:cs="Courier New"/>
          <w:sz w:val="32"/>
          <w:szCs w:val="32"/>
          <w:lang w:val="en-US" w:eastAsia="zh-CN"/>
        </w:rPr>
        <w:t>年度</w:t>
      </w:r>
      <w:r>
        <w:rPr>
          <w:rFonts w:hint="eastAsia" w:ascii="仿宋_GB2312" w:eastAsia="仿宋_GB2312"/>
          <w:sz w:val="32"/>
          <w:szCs w:val="32"/>
        </w:rPr>
        <w:t>医疗器械经营企业信息表</w:t>
      </w:r>
    </w:p>
    <w:p w14:paraId="23733281">
      <w:pPr>
        <w:spacing w:line="560" w:lineRule="exact"/>
        <w:ind w:firstLine="1584" w:firstLineChars="495"/>
        <w:rPr>
          <w:rFonts w:hint="eastAsia" w:ascii="仿宋_GB2312" w:eastAsia="仿宋_GB2312"/>
          <w:sz w:val="32"/>
          <w:szCs w:val="32"/>
        </w:rPr>
      </w:pPr>
      <w:r>
        <w:rPr>
          <w:rFonts w:hint="default" w:ascii="仿宋_GB2312" w:eastAsia="仿宋_GB2312"/>
          <w:sz w:val="32"/>
          <w:szCs w:val="32"/>
          <w:lang w:val="en-US" w:eastAsia="zh-CN"/>
        </w:rPr>
        <w:t>3</w:t>
      </w:r>
      <w:r>
        <w:rPr>
          <w:rFonts w:ascii="仿宋_GB2312" w:eastAsia="仿宋_GB2312"/>
          <w:sz w:val="32"/>
          <w:szCs w:val="32"/>
        </w:rPr>
        <w:t>.</w:t>
      </w:r>
      <w:r>
        <w:rPr>
          <w:rFonts w:hint="eastAsia" w:ascii="仿宋_GB2312" w:hAnsi="Courier New" w:eastAsia="仿宋_GB2312" w:cs="Courier New"/>
          <w:sz w:val="32"/>
          <w:szCs w:val="32"/>
          <w:lang w:eastAsia="zh-CN"/>
        </w:rPr>
        <w:t>三门峡市</w:t>
      </w:r>
      <w:r>
        <w:rPr>
          <w:rFonts w:hint="eastAsia" w:ascii="Times New Roman" w:hAnsi="Times New Roman" w:eastAsia="仿宋_GB2312" w:cs="Times New Roman"/>
          <w:sz w:val="32"/>
          <w:szCs w:val="32"/>
          <w:lang w:val="en-US" w:eastAsia="zh-CN"/>
        </w:rPr>
        <w:t>2026</w:t>
      </w:r>
      <w:r>
        <w:rPr>
          <w:rFonts w:hint="eastAsia" w:ascii="仿宋_GB2312" w:hAnsi="Courier New" w:eastAsia="仿宋_GB2312" w:cs="Courier New"/>
          <w:sz w:val="32"/>
          <w:szCs w:val="32"/>
          <w:lang w:eastAsia="zh-CN"/>
        </w:rPr>
        <w:t>年度医疗器械使用单位信息表</w:t>
      </w:r>
    </w:p>
    <w:p w14:paraId="4ADB8BEF">
      <w:pPr>
        <w:spacing w:line="560" w:lineRule="exact"/>
        <w:ind w:firstLine="1584" w:firstLineChars="495"/>
        <w:rPr>
          <w:rFonts w:hint="eastAsia" w:ascii="仿宋_GB2312" w:eastAsia="仿宋_GB2312"/>
          <w:sz w:val="32"/>
          <w:szCs w:val="32"/>
        </w:rPr>
      </w:pPr>
      <w:r>
        <w:rPr>
          <w:rFonts w:hint="default"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医疗器械经营企业统计表</w:t>
      </w:r>
    </w:p>
    <w:p w14:paraId="74A8B775">
      <w:pPr>
        <w:spacing w:line="560" w:lineRule="exact"/>
        <w:ind w:firstLine="1584" w:firstLineChars="495"/>
        <w:rPr>
          <w:rFonts w:hint="eastAsia" w:ascii="仿宋_GB2312" w:eastAsia="仿宋_GB2312"/>
          <w:sz w:val="32"/>
          <w:szCs w:val="32"/>
        </w:rPr>
      </w:pPr>
      <w:r>
        <w:rPr>
          <w:rFonts w:hint="default"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医疗器械使用单位统计表</w:t>
      </w:r>
    </w:p>
    <w:p w14:paraId="14F45201">
      <w:pPr>
        <w:tabs>
          <w:tab w:val="left" w:pos="7513"/>
        </w:tabs>
        <w:spacing w:line="560" w:lineRule="exact"/>
        <w:ind w:firstLine="5120" w:firstLineChars="1600"/>
        <w:rPr>
          <w:rFonts w:hint="eastAsia" w:ascii="仿宋_GB2312" w:eastAsia="仿宋_GB2312"/>
          <w:sz w:val="32"/>
          <w:szCs w:val="32"/>
        </w:rPr>
      </w:pPr>
    </w:p>
    <w:p w14:paraId="43E888DE">
      <w:pPr>
        <w:tabs>
          <w:tab w:val="left" w:pos="7513"/>
        </w:tabs>
        <w:spacing w:line="560" w:lineRule="exact"/>
        <w:rPr>
          <w:rFonts w:hint="eastAsia" w:ascii="仿宋_GB2312" w:eastAsia="仿宋_GB2312"/>
          <w:sz w:val="28"/>
          <w:szCs w:val="28"/>
        </w:rPr>
        <w:sectPr>
          <w:footerReference r:id="rId5" w:type="default"/>
          <w:footerReference r:id="rId6" w:type="even"/>
          <w:pgSz w:w="11906" w:h="16838"/>
          <w:pgMar w:top="2098" w:right="1474" w:bottom="1985" w:left="1588" w:header="851" w:footer="1588" w:gutter="0"/>
          <w:cols w:space="720" w:num="1"/>
          <w:docGrid w:type="lines" w:linePitch="312" w:charSpace="0"/>
        </w:sectPr>
      </w:pPr>
    </w:p>
    <w:p w14:paraId="6A6DBF76">
      <w:pPr>
        <w:pStyle w:val="1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eastAsia" w:ascii="CESI黑体-GB2312" w:hAnsi="CESI黑体-GB2312" w:eastAsia="CESI黑体-GB2312" w:cs="CESI黑体-GB2312"/>
          <w:sz w:val="30"/>
          <w:szCs w:val="30"/>
          <w:highlight w:val="none"/>
          <w:lang w:val="en-US" w:eastAsia="zh-CN"/>
        </w:rPr>
      </w:pPr>
      <w:r>
        <w:rPr>
          <w:rFonts w:hint="eastAsia" w:ascii="CESI黑体-GB2312" w:hAnsi="CESI黑体-GB2312" w:eastAsia="CESI黑体-GB2312" w:cs="CESI黑体-GB2312"/>
          <w:sz w:val="32"/>
          <w:szCs w:val="32"/>
          <w:highlight w:val="none"/>
          <w:lang w:val="en-US" w:eastAsia="zh-CN"/>
        </w:rPr>
        <w:t>附件1</w:t>
      </w:r>
    </w:p>
    <w:p w14:paraId="5818394A">
      <w:pPr>
        <w:pStyle w:val="12"/>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highlight w:val="none"/>
          <w:lang w:val="en-US" w:eastAsia="zh-CN"/>
        </w:rPr>
        <w:t>2026年第X季度重点品种医疗器械监管工作情况汇总表</w:t>
      </w:r>
    </w:p>
    <w:tbl>
      <w:tblPr>
        <w:tblStyle w:val="13"/>
        <w:tblW w:w="1422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7"/>
        <w:gridCol w:w="1450"/>
        <w:gridCol w:w="1084"/>
        <w:gridCol w:w="833"/>
        <w:gridCol w:w="833"/>
        <w:gridCol w:w="767"/>
        <w:gridCol w:w="750"/>
        <w:gridCol w:w="1000"/>
        <w:gridCol w:w="733"/>
        <w:gridCol w:w="660"/>
        <w:gridCol w:w="672"/>
        <w:gridCol w:w="883"/>
        <w:gridCol w:w="784"/>
        <w:gridCol w:w="800"/>
        <w:gridCol w:w="866"/>
        <w:gridCol w:w="700"/>
        <w:gridCol w:w="919"/>
      </w:tblGrid>
      <w:tr w14:paraId="3B524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blHeader/>
          <w:jc w:val="center"/>
        </w:trPr>
        <w:tc>
          <w:tcPr>
            <w:tcW w:w="3021" w:type="dxa"/>
            <w:gridSpan w:val="3"/>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6BEACC8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整治项目</w:t>
            </w:r>
          </w:p>
        </w:tc>
        <w:tc>
          <w:tcPr>
            <w:tcW w:w="833"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50D35B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企业总数</w:t>
            </w:r>
          </w:p>
        </w:tc>
        <w:tc>
          <w:tcPr>
            <w:tcW w:w="833"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7F2A12E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检查企业家次</w:t>
            </w:r>
          </w:p>
        </w:tc>
        <w:tc>
          <w:tcPr>
            <w:tcW w:w="767"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3750491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责令改正家次</w:t>
            </w:r>
          </w:p>
        </w:tc>
        <w:tc>
          <w:tcPr>
            <w:tcW w:w="75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0673E4D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约谈企业数</w:t>
            </w:r>
          </w:p>
        </w:tc>
        <w:tc>
          <w:tcPr>
            <w:tcW w:w="100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681E56E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查处违法违规案件（含简易处罚程序）</w:t>
            </w:r>
          </w:p>
        </w:tc>
        <w:tc>
          <w:tcPr>
            <w:tcW w:w="733"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563F97E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罚没款（万元）</w:t>
            </w:r>
          </w:p>
        </w:tc>
        <w:tc>
          <w:tcPr>
            <w:tcW w:w="66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38E1B4F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责令停产停业数</w:t>
            </w:r>
          </w:p>
        </w:tc>
        <w:tc>
          <w:tcPr>
            <w:tcW w:w="672"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2305A77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吊销生产经营许可证数</w:t>
            </w:r>
          </w:p>
        </w:tc>
        <w:tc>
          <w:tcPr>
            <w:tcW w:w="883"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4C8D49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列入严重违法失信名单企业数</w:t>
            </w:r>
          </w:p>
        </w:tc>
        <w:tc>
          <w:tcPr>
            <w:tcW w:w="784"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1E7EC3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移送公安机关案件数</w:t>
            </w:r>
          </w:p>
        </w:tc>
        <w:tc>
          <w:tcPr>
            <w:tcW w:w="80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62A6BC0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移交卫生主管部门线索数</w:t>
            </w:r>
          </w:p>
        </w:tc>
        <w:tc>
          <w:tcPr>
            <w:tcW w:w="866"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0EC1876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移交通信管理部门违法网站数</w:t>
            </w:r>
          </w:p>
        </w:tc>
        <w:tc>
          <w:tcPr>
            <w:tcW w:w="700"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1A7F616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移交海关部门线索数</w:t>
            </w:r>
          </w:p>
        </w:tc>
        <w:tc>
          <w:tcPr>
            <w:tcW w:w="919" w:type="dxa"/>
            <w:tcBorders>
              <w:top w:val="single" w:color="000000" w:sz="4" w:space="0"/>
              <w:left w:val="single" w:color="000000" w:sz="4" w:space="0"/>
              <w:bottom w:val="single" w:color="000000" w:sz="4" w:space="0"/>
              <w:right w:val="single" w:color="000000" w:sz="4" w:space="0"/>
            </w:tcBorders>
            <w:shd w:val="clear" w:color="auto" w:fill="BFBFBF"/>
            <w:noWrap w:val="0"/>
            <w:vAlign w:val="center"/>
          </w:tcPr>
          <w:p w14:paraId="3054830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移交纪检部门线索数</w:t>
            </w:r>
          </w:p>
        </w:tc>
      </w:tr>
      <w:tr w14:paraId="4EEC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restart"/>
            <w:tcBorders>
              <w:top w:val="single" w:color="auto" w:sz="4" w:space="0"/>
              <w:left w:val="single" w:color="auto" w:sz="4" w:space="0"/>
              <w:right w:val="single" w:color="auto" w:sz="4" w:space="0"/>
            </w:tcBorders>
            <w:noWrap w:val="0"/>
            <w:vAlign w:val="center"/>
          </w:tcPr>
          <w:p w14:paraId="51C52C3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ascii="Times New Roman" w:hAnsi="Times New Roman" w:eastAsia="楷体_GB2312" w:cs="Times New Roman"/>
                <w:i w:val="0"/>
                <w:iCs w:val="0"/>
                <w:color w:val="000000"/>
                <w:kern w:val="0"/>
                <w:sz w:val="18"/>
                <w:szCs w:val="18"/>
                <w:u w:val="none"/>
                <w:lang w:val="en-US" w:eastAsia="zh-CN" w:bidi="ar"/>
              </w:rPr>
              <w:t>无菌和植入性医疗器械</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111A4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BA9C46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DB171D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35398D6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59A73AA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3EEBFE9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655862A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56FC457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71D9F8B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35F06A7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52C55BA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5D4AE63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21CA000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58DC207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1DF7997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682B3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left w:val="single" w:color="auto" w:sz="4" w:space="0"/>
              <w:right w:val="single" w:color="auto" w:sz="4" w:space="0"/>
            </w:tcBorders>
            <w:noWrap w:val="0"/>
            <w:vAlign w:val="center"/>
          </w:tcPr>
          <w:p w14:paraId="1AF6566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77211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4554DEE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7452DC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358CBF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344E0FA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7935CDC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716D086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47044CD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2933303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159B4CD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7807C7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F37007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349CDD7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04D4BC8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2E22A85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0660A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restart"/>
            <w:tcBorders>
              <w:top w:val="single" w:color="auto" w:sz="4" w:space="0"/>
              <w:left w:val="single" w:color="auto" w:sz="4" w:space="0"/>
              <w:right w:val="single" w:color="auto" w:sz="4" w:space="0"/>
            </w:tcBorders>
            <w:noWrap w:val="0"/>
            <w:vAlign w:val="center"/>
          </w:tcPr>
          <w:p w14:paraId="5D17CEE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ascii="Times New Roman" w:hAnsi="Times New Roman" w:eastAsia="楷体_GB2312" w:cs="Times New Roman"/>
                <w:i w:val="0"/>
                <w:iCs w:val="0"/>
                <w:color w:val="000000"/>
                <w:kern w:val="0"/>
                <w:sz w:val="18"/>
                <w:szCs w:val="18"/>
                <w:u w:val="none"/>
                <w:lang w:val="en-US" w:eastAsia="zh-CN" w:bidi="ar"/>
              </w:rPr>
              <w:t>集中带量采购中选产品</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61B856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配送</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0527A87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5619F6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383B88A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015454D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4DF71FE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476715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74356E2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306E0D7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632F8E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4AD501B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7F650B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27909A3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0BC144B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384ADC2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4DB97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left w:val="single" w:color="auto" w:sz="4" w:space="0"/>
              <w:bottom w:val="single" w:color="auto" w:sz="4" w:space="0"/>
              <w:right w:val="single" w:color="auto" w:sz="4" w:space="0"/>
            </w:tcBorders>
            <w:noWrap w:val="0"/>
            <w:vAlign w:val="center"/>
          </w:tcPr>
          <w:p w14:paraId="3720333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6C3BC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510FC76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32F6C6D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21F27A6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2324910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7E57FC2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3C627E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355DD48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7AD64E1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0479D94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040286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106BED6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5D2CF8A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664816D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66F86B0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E608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exact"/>
          <w:jc w:val="center"/>
        </w:trPr>
        <w:tc>
          <w:tcPr>
            <w:tcW w:w="193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306938BB">
            <w:pPr>
              <w:keepNext w:val="0"/>
              <w:keepLines w:val="0"/>
              <w:pageBreakBefore w:val="0"/>
              <w:kinsoku/>
              <w:wordWrap/>
              <w:overflowPunct/>
              <w:topLinePunct w:val="0"/>
              <w:autoSpaceDE/>
              <w:autoSpaceDN/>
              <w:bidi w:val="0"/>
              <w:adjustRightInd/>
              <w:snapToGrid/>
              <w:spacing w:line="240" w:lineRule="exact"/>
              <w:jc w:val="center"/>
              <w:rPr>
                <w:rStyle w:val="19"/>
                <w:rFonts w:hint="default" w:ascii="Times New Roman" w:hAnsi="Times New Roman" w:cs="Times New Roman"/>
                <w:lang w:val="en-US" w:eastAsia="zh-CN" w:bidi="ar"/>
              </w:rPr>
            </w:pPr>
            <w:r>
              <w:rPr>
                <w:rFonts w:hint="default" w:ascii="Times New Roman" w:hAnsi="Times New Roman" w:eastAsia="楷体_GB2312" w:cs="Times New Roman"/>
                <w:i w:val="0"/>
                <w:iCs w:val="0"/>
                <w:color w:val="000000"/>
                <w:kern w:val="0"/>
                <w:sz w:val="18"/>
                <w:szCs w:val="18"/>
                <w:u w:val="none"/>
                <w:lang w:val="en-US" w:eastAsia="zh-CN" w:bidi="ar"/>
              </w:rPr>
              <w:t>体外诊断试剂</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261816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生产（一类）</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3DEEBF5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8D3487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201F3CC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5DC99A3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6F2FD9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5A2EF9A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7949B3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75E0F8B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1FC61C2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789AAD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33B117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3EFFB87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1FC38B3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06A43FA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4B2C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B0A3BB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6503D22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76D2DF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31BECA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580C21F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226949B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0D09B84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19B9F51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6592EEA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42941AE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7AD5738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49DCB74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22E35AD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55A7F59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34F6E8F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717FBA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1B1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36D0434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186837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081F4A2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9FBC8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7D75BE1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7544433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397663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7E0BECA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641C6A6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58CE5B8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2F65A91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1D77559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2119758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44BFBDC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2738B6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1198C9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AE84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restart"/>
            <w:tcBorders>
              <w:top w:val="single" w:color="auto" w:sz="4" w:space="0"/>
              <w:left w:val="single" w:color="auto" w:sz="4" w:space="0"/>
              <w:right w:val="single" w:color="auto" w:sz="4" w:space="0"/>
            </w:tcBorders>
            <w:noWrap w:val="0"/>
            <w:vAlign w:val="center"/>
          </w:tcPr>
          <w:p w14:paraId="52DF2A3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ascii="Times New Roman" w:hAnsi="Times New Roman" w:eastAsia="楷体_GB2312" w:cs="Times New Roman"/>
                <w:i w:val="0"/>
                <w:iCs w:val="0"/>
                <w:color w:val="000000"/>
                <w:kern w:val="0"/>
                <w:sz w:val="18"/>
                <w:szCs w:val="18"/>
                <w:u w:val="none"/>
                <w:lang w:val="en-US" w:eastAsia="zh-CN" w:bidi="ar"/>
              </w:rPr>
              <w:t>其中</w:t>
            </w:r>
          </w:p>
        </w:tc>
        <w:tc>
          <w:tcPr>
            <w:tcW w:w="1450" w:type="dxa"/>
            <w:vMerge w:val="restart"/>
            <w:tcBorders>
              <w:top w:val="single" w:color="auto" w:sz="4" w:space="0"/>
              <w:left w:val="single" w:color="auto" w:sz="4" w:space="0"/>
              <w:right w:val="single" w:color="auto" w:sz="4" w:space="0"/>
            </w:tcBorders>
            <w:noWrap w:val="0"/>
            <w:vAlign w:val="center"/>
          </w:tcPr>
          <w:p w14:paraId="72406B4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auto"/>
                <w:kern w:val="0"/>
                <w:sz w:val="20"/>
                <w:szCs w:val="20"/>
                <w:u w:val="none"/>
                <w:lang w:val="en-US" w:eastAsia="zh-CN" w:bidi="ar"/>
              </w:rPr>
            </w:pPr>
            <w:r>
              <w:rPr>
                <w:rFonts w:hint="default" w:ascii="Times New Roman" w:hAnsi="Times New Roman" w:eastAsia="楷体_GB2312" w:cs="Times New Roman"/>
                <w:i w:val="0"/>
                <w:iCs w:val="0"/>
                <w:color w:val="auto"/>
                <w:kern w:val="0"/>
                <w:sz w:val="20"/>
                <w:szCs w:val="20"/>
                <w:u w:val="none"/>
                <w:lang w:val="en-US" w:eastAsia="zh-CN" w:bidi="ar"/>
              </w:rPr>
              <w:t>流感诊断试剂</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44E5FA0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8007EA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3AC6235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3BFAF89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7AA9EA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6B97C54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5EF42C5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6842F4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331220A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28576E2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6BE473A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4DE52A5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3311782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624260E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28103C1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3ABED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left w:val="single" w:color="auto" w:sz="4" w:space="0"/>
              <w:right w:val="single" w:color="auto" w:sz="4" w:space="0"/>
            </w:tcBorders>
            <w:noWrap w:val="0"/>
            <w:vAlign w:val="center"/>
          </w:tcPr>
          <w:p w14:paraId="413C37CA">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450" w:type="dxa"/>
            <w:vMerge w:val="continue"/>
            <w:tcBorders>
              <w:left w:val="single" w:color="auto" w:sz="4" w:space="0"/>
              <w:bottom w:val="single" w:color="auto" w:sz="4" w:space="0"/>
              <w:right w:val="single" w:color="auto" w:sz="4" w:space="0"/>
            </w:tcBorders>
            <w:noWrap w:val="0"/>
            <w:vAlign w:val="center"/>
          </w:tcPr>
          <w:p w14:paraId="0F7841E8">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58C1556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24F0292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653E464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5DC7CEC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694F59D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3ADA89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43335DC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2D066EA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22291E0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02E256F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08A124A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7337D78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3E56B6F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1392B0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71A1721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A3D1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left w:val="single" w:color="auto" w:sz="4" w:space="0"/>
              <w:right w:val="single" w:color="auto" w:sz="4" w:space="0"/>
            </w:tcBorders>
            <w:noWrap w:val="0"/>
            <w:vAlign w:val="center"/>
          </w:tcPr>
          <w:p w14:paraId="71A33D28">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450" w:type="dxa"/>
            <w:vMerge w:val="restart"/>
            <w:tcBorders>
              <w:left w:val="single" w:color="auto" w:sz="4" w:space="0"/>
              <w:right w:val="single" w:color="auto" w:sz="4" w:space="0"/>
            </w:tcBorders>
            <w:noWrap w:val="0"/>
            <w:vAlign w:val="center"/>
          </w:tcPr>
          <w:p w14:paraId="22A3F19C">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r>
              <w:rPr>
                <w:rFonts w:hint="default" w:ascii="Times New Roman" w:hAnsi="Times New Roman" w:eastAsia="楷体_GB2312" w:cs="Times New Roman"/>
                <w:i w:val="0"/>
                <w:iCs w:val="0"/>
                <w:color w:val="auto"/>
                <w:kern w:val="0"/>
                <w:sz w:val="20"/>
                <w:szCs w:val="20"/>
                <w:u w:val="none"/>
                <w:lang w:val="en-US" w:eastAsia="zh-CN" w:bidi="ar"/>
              </w:rPr>
              <w:t>肿瘤诊断试剂</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13E2176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3726C35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59C789F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6A42898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20C6945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68C1010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3FF5E2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4267534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7761621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13C6BA7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086189C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76AB8D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7E42489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1846DC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43B8955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D688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continue"/>
            <w:tcBorders>
              <w:left w:val="single" w:color="auto" w:sz="4" w:space="0"/>
              <w:right w:val="single" w:color="auto" w:sz="4" w:space="0"/>
            </w:tcBorders>
            <w:noWrap w:val="0"/>
            <w:vAlign w:val="center"/>
          </w:tcPr>
          <w:p w14:paraId="2EFBD4E8">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450" w:type="dxa"/>
            <w:vMerge w:val="continue"/>
            <w:tcBorders>
              <w:left w:val="single" w:color="auto" w:sz="4" w:space="0"/>
              <w:bottom w:val="single" w:color="auto" w:sz="4" w:space="0"/>
              <w:right w:val="single" w:color="auto" w:sz="4" w:space="0"/>
            </w:tcBorders>
            <w:noWrap w:val="0"/>
            <w:vAlign w:val="center"/>
          </w:tcPr>
          <w:p w14:paraId="12FD86CD">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410FFAE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13E63B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5A75901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60C4E7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1142B2F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23615FA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35FCE92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55BB8CC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2378891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24B75B0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2E99AF2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CF269C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1A54775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070B468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3E37E47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13BE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continue"/>
            <w:tcBorders>
              <w:left w:val="single" w:color="auto" w:sz="4" w:space="0"/>
              <w:right w:val="single" w:color="auto" w:sz="4" w:space="0"/>
            </w:tcBorders>
            <w:noWrap w:val="0"/>
            <w:vAlign w:val="center"/>
          </w:tcPr>
          <w:p w14:paraId="2546D5C5">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450" w:type="dxa"/>
            <w:vMerge w:val="restart"/>
            <w:tcBorders>
              <w:left w:val="single" w:color="auto" w:sz="4" w:space="0"/>
              <w:right w:val="single" w:color="auto" w:sz="4" w:space="0"/>
            </w:tcBorders>
            <w:noWrap w:val="0"/>
            <w:vAlign w:val="center"/>
          </w:tcPr>
          <w:p w14:paraId="7175D632">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r>
              <w:rPr>
                <w:rFonts w:hint="default" w:ascii="Times New Roman" w:hAnsi="Times New Roman" w:eastAsia="楷体_GB2312" w:cs="Times New Roman"/>
                <w:i w:val="0"/>
                <w:iCs w:val="0"/>
                <w:color w:val="auto"/>
                <w:kern w:val="0"/>
                <w:sz w:val="20"/>
                <w:szCs w:val="20"/>
                <w:u w:val="none"/>
                <w:lang w:val="en-US" w:eastAsia="zh-CN" w:bidi="ar"/>
              </w:rPr>
              <w:t>心血管疾病诊断试剂</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06FBAD8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0E7E7C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27B6219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47523F9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2ADCDBE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7A2208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0FA17C7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78FC7B3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1E0DF6F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6E2E6D9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6F57AF8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E80A10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72A3D25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2736D7B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0E5B711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33E36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left w:val="single" w:color="auto" w:sz="4" w:space="0"/>
              <w:bottom w:val="single" w:color="auto" w:sz="4" w:space="0"/>
              <w:right w:val="single" w:color="auto" w:sz="4" w:space="0"/>
            </w:tcBorders>
            <w:noWrap w:val="0"/>
            <w:vAlign w:val="center"/>
          </w:tcPr>
          <w:p w14:paraId="4EE13FA0">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450" w:type="dxa"/>
            <w:vMerge w:val="continue"/>
            <w:tcBorders>
              <w:left w:val="single" w:color="auto" w:sz="4" w:space="0"/>
              <w:bottom w:val="single" w:color="auto" w:sz="4" w:space="0"/>
              <w:right w:val="single" w:color="auto" w:sz="4" w:space="0"/>
            </w:tcBorders>
            <w:noWrap w:val="0"/>
            <w:vAlign w:val="center"/>
          </w:tcPr>
          <w:p w14:paraId="5CFA33B1">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56E78AF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7BE495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6B6FDA9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5B74CDB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2699C01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56E2453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738895E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27598C9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568C11D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22959CF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40A020C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44CD438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2925979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5364144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61623C5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06F09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1937" w:type="dxa"/>
            <w:gridSpan w:val="2"/>
            <w:tcBorders>
              <w:left w:val="single" w:color="auto" w:sz="4" w:space="0"/>
              <w:bottom w:val="single" w:color="auto" w:sz="4" w:space="0"/>
              <w:right w:val="single" w:color="auto" w:sz="4" w:space="0"/>
            </w:tcBorders>
            <w:noWrap w:val="0"/>
            <w:vAlign w:val="center"/>
          </w:tcPr>
          <w:p w14:paraId="47027B6C">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kern w:val="0"/>
                <w:sz w:val="18"/>
                <w:szCs w:val="18"/>
                <w:u w:val="none"/>
                <w:lang w:val="en-US" w:eastAsia="zh-CN" w:bidi="ar"/>
              </w:rPr>
            </w:pPr>
            <w:r>
              <w:rPr>
                <w:rFonts w:hint="eastAsia" w:ascii="Times New Roman" w:hAnsi="Times New Roman" w:eastAsia="楷体_GB2312" w:cs="Times New Roman"/>
                <w:i w:val="0"/>
                <w:iCs w:val="0"/>
                <w:color w:val="000000"/>
                <w:kern w:val="0"/>
                <w:sz w:val="18"/>
                <w:szCs w:val="18"/>
                <w:u w:val="none"/>
                <w:lang w:val="en-US" w:eastAsia="zh-CN" w:bidi="ar"/>
              </w:rPr>
              <w:t>第三方医学检验中心</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31EBF1A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使用</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A4BAA9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4EF6404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233E6AD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793C6BA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599CE4E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1861E0C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79B27F7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66DE95F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52C6739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56F434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07699BD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6BAE993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6760633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1E85946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38B4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1937" w:type="dxa"/>
            <w:gridSpan w:val="2"/>
            <w:vMerge w:val="restart"/>
            <w:tcBorders>
              <w:top w:val="single" w:color="auto" w:sz="4" w:space="0"/>
              <w:left w:val="single" w:color="auto" w:sz="4" w:space="0"/>
              <w:right w:val="single" w:color="auto" w:sz="4" w:space="0"/>
            </w:tcBorders>
            <w:noWrap w:val="0"/>
            <w:vAlign w:val="center"/>
          </w:tcPr>
          <w:p w14:paraId="725EEE8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r>
              <w:rPr>
                <w:rStyle w:val="19"/>
                <w:rFonts w:hint="default" w:ascii="Times New Roman" w:hAnsi="Times New Roman" w:cs="Times New Roman"/>
                <w:lang w:val="en-US" w:eastAsia="zh-CN" w:bidi="ar"/>
              </w:rPr>
              <w:t>医疗美容医疗器械</w:t>
            </w:r>
          </w:p>
        </w:tc>
        <w:tc>
          <w:tcPr>
            <w:tcW w:w="1084" w:type="dxa"/>
            <w:tcBorders>
              <w:top w:val="single" w:color="auto" w:sz="4" w:space="0"/>
              <w:left w:val="single" w:color="auto" w:sz="4" w:space="0"/>
              <w:bottom w:val="single" w:color="000000" w:sz="4" w:space="0"/>
              <w:right w:val="single" w:color="000000" w:sz="4" w:space="0"/>
            </w:tcBorders>
            <w:noWrap w:val="0"/>
            <w:vAlign w:val="center"/>
          </w:tcPr>
          <w:p w14:paraId="7C0B04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23833E4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1BD2749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auto" w:sz="4" w:space="0"/>
              <w:left w:val="single" w:color="000000" w:sz="4" w:space="0"/>
              <w:bottom w:val="single" w:color="000000" w:sz="4" w:space="0"/>
              <w:right w:val="single" w:color="000000" w:sz="4" w:space="0"/>
            </w:tcBorders>
            <w:noWrap w:val="0"/>
            <w:vAlign w:val="center"/>
          </w:tcPr>
          <w:p w14:paraId="2434D96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auto" w:sz="4" w:space="0"/>
              <w:left w:val="single" w:color="000000" w:sz="4" w:space="0"/>
              <w:bottom w:val="single" w:color="000000" w:sz="4" w:space="0"/>
              <w:right w:val="single" w:color="000000" w:sz="4" w:space="0"/>
            </w:tcBorders>
            <w:noWrap w:val="0"/>
            <w:vAlign w:val="center"/>
          </w:tcPr>
          <w:p w14:paraId="1D7C9CC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auto" w:sz="4" w:space="0"/>
              <w:left w:val="single" w:color="000000" w:sz="4" w:space="0"/>
              <w:bottom w:val="single" w:color="000000" w:sz="4" w:space="0"/>
              <w:right w:val="single" w:color="000000" w:sz="4" w:space="0"/>
            </w:tcBorders>
            <w:noWrap w:val="0"/>
            <w:vAlign w:val="center"/>
          </w:tcPr>
          <w:p w14:paraId="790E134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auto" w:sz="4" w:space="0"/>
              <w:left w:val="single" w:color="000000" w:sz="4" w:space="0"/>
              <w:bottom w:val="single" w:color="000000" w:sz="4" w:space="0"/>
              <w:right w:val="single" w:color="000000" w:sz="4" w:space="0"/>
            </w:tcBorders>
            <w:noWrap w:val="0"/>
            <w:vAlign w:val="center"/>
          </w:tcPr>
          <w:p w14:paraId="175F009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auto" w:sz="4" w:space="0"/>
              <w:left w:val="single" w:color="000000" w:sz="4" w:space="0"/>
              <w:bottom w:val="single" w:color="000000" w:sz="4" w:space="0"/>
              <w:right w:val="single" w:color="000000" w:sz="4" w:space="0"/>
            </w:tcBorders>
            <w:noWrap w:val="0"/>
            <w:vAlign w:val="center"/>
          </w:tcPr>
          <w:p w14:paraId="01ECE42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auto" w:sz="4" w:space="0"/>
              <w:left w:val="single" w:color="000000" w:sz="4" w:space="0"/>
              <w:bottom w:val="single" w:color="000000" w:sz="4" w:space="0"/>
              <w:right w:val="single" w:color="000000" w:sz="4" w:space="0"/>
            </w:tcBorders>
            <w:noWrap w:val="0"/>
            <w:vAlign w:val="center"/>
          </w:tcPr>
          <w:p w14:paraId="38E4909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auto" w:sz="4" w:space="0"/>
              <w:left w:val="single" w:color="000000" w:sz="4" w:space="0"/>
              <w:bottom w:val="single" w:color="000000" w:sz="4" w:space="0"/>
              <w:right w:val="single" w:color="000000" w:sz="4" w:space="0"/>
            </w:tcBorders>
            <w:noWrap w:val="0"/>
            <w:vAlign w:val="center"/>
          </w:tcPr>
          <w:p w14:paraId="64ED5B6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auto" w:sz="4" w:space="0"/>
              <w:left w:val="single" w:color="000000" w:sz="4" w:space="0"/>
              <w:bottom w:val="single" w:color="000000" w:sz="4" w:space="0"/>
              <w:right w:val="single" w:color="000000" w:sz="4" w:space="0"/>
            </w:tcBorders>
            <w:noWrap w:val="0"/>
            <w:vAlign w:val="center"/>
          </w:tcPr>
          <w:p w14:paraId="4163B45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auto" w:sz="4" w:space="0"/>
              <w:left w:val="single" w:color="000000" w:sz="4" w:space="0"/>
              <w:bottom w:val="single" w:color="000000" w:sz="4" w:space="0"/>
              <w:right w:val="single" w:color="000000" w:sz="4" w:space="0"/>
            </w:tcBorders>
            <w:noWrap w:val="0"/>
            <w:vAlign w:val="center"/>
          </w:tcPr>
          <w:p w14:paraId="541F98A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auto" w:sz="4" w:space="0"/>
              <w:left w:val="single" w:color="000000" w:sz="4" w:space="0"/>
              <w:bottom w:val="single" w:color="000000" w:sz="4" w:space="0"/>
              <w:right w:val="single" w:color="000000" w:sz="4" w:space="0"/>
            </w:tcBorders>
            <w:noWrap w:val="0"/>
            <w:vAlign w:val="center"/>
          </w:tcPr>
          <w:p w14:paraId="04769D3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auto" w:sz="4" w:space="0"/>
              <w:left w:val="single" w:color="000000" w:sz="4" w:space="0"/>
              <w:bottom w:val="single" w:color="000000" w:sz="4" w:space="0"/>
              <w:right w:val="single" w:color="000000" w:sz="4" w:space="0"/>
            </w:tcBorders>
            <w:noWrap w:val="0"/>
            <w:vAlign w:val="center"/>
          </w:tcPr>
          <w:p w14:paraId="453E793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auto" w:sz="4" w:space="0"/>
              <w:left w:val="single" w:color="000000" w:sz="4" w:space="0"/>
              <w:bottom w:val="single" w:color="000000" w:sz="4" w:space="0"/>
              <w:right w:val="single" w:color="000000" w:sz="4" w:space="0"/>
            </w:tcBorders>
            <w:noWrap w:val="0"/>
            <w:vAlign w:val="center"/>
          </w:tcPr>
          <w:p w14:paraId="045865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A2D5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9EF7D7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0F8D54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使用</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638100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F3C44F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E27D5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F92BE7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6494679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010750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37DC1D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31450AD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7473863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F50E51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AE1577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0B64B7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F4FD11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F0A4A9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6516E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restart"/>
            <w:tcBorders>
              <w:top w:val="single" w:color="auto" w:sz="4" w:space="0"/>
              <w:left w:val="single" w:color="auto" w:sz="4" w:space="0"/>
              <w:right w:val="single" w:color="auto" w:sz="4" w:space="0"/>
            </w:tcBorders>
            <w:noWrap w:val="0"/>
            <w:vAlign w:val="center"/>
          </w:tcPr>
          <w:p w14:paraId="43487B55">
            <w:pPr>
              <w:keepNext w:val="0"/>
              <w:keepLines w:val="0"/>
              <w:pageBreakBefore w:val="0"/>
              <w:kinsoku/>
              <w:wordWrap/>
              <w:overflowPunct/>
              <w:topLinePunct w:val="0"/>
              <w:autoSpaceDE/>
              <w:autoSpaceDN/>
              <w:bidi w:val="0"/>
              <w:adjustRightInd/>
              <w:snapToGrid/>
              <w:spacing w:line="240" w:lineRule="exact"/>
              <w:jc w:val="center"/>
              <w:rPr>
                <w:rFonts w:hint="eastAsia" w:ascii="Times New Roman" w:hAnsi="Times New Roman" w:eastAsia="楷体_GB2312" w:cs="Times New Roman"/>
                <w:i w:val="0"/>
                <w:iCs w:val="0"/>
                <w:color w:val="000000"/>
                <w:sz w:val="18"/>
                <w:szCs w:val="18"/>
                <w:u w:val="none"/>
                <w:lang w:eastAsia="zh-CN"/>
              </w:rPr>
            </w:pPr>
            <w:r>
              <w:rPr>
                <w:rFonts w:hint="eastAsia" w:eastAsia="楷体_GB2312" w:cs="Times New Roman"/>
                <w:i w:val="0"/>
                <w:iCs w:val="0"/>
                <w:color w:val="000000"/>
                <w:sz w:val="18"/>
                <w:szCs w:val="18"/>
                <w:u w:val="none"/>
                <w:lang w:eastAsia="zh-CN"/>
              </w:rPr>
              <w:t>其中</w:t>
            </w:r>
          </w:p>
        </w:tc>
        <w:tc>
          <w:tcPr>
            <w:tcW w:w="1450" w:type="dxa"/>
            <w:vMerge w:val="restart"/>
            <w:tcBorders>
              <w:top w:val="single" w:color="auto" w:sz="4" w:space="0"/>
              <w:left w:val="single" w:color="auto" w:sz="4" w:space="0"/>
              <w:right w:val="single" w:color="auto" w:sz="4" w:space="0"/>
            </w:tcBorders>
            <w:noWrap w:val="0"/>
            <w:vAlign w:val="center"/>
          </w:tcPr>
          <w:p w14:paraId="02659DF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r>
              <w:rPr>
                <w:rStyle w:val="19"/>
                <w:rFonts w:hint="default" w:ascii="Times New Roman" w:hAnsi="Times New Roman" w:cs="Times New Roman"/>
                <w:lang w:val="en-US" w:eastAsia="zh-CN" w:bidi="ar"/>
              </w:rPr>
              <w:t>注射用透明质酸钠凝胶</w:t>
            </w: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4C5618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47B5B3A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1571C4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0152A32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7D406D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C6C572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DB2778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4D70A94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5107EF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02CDC5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E57BF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136B2E3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4C27E01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BBC87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A6A6D1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3C5A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top w:val="single" w:color="auto" w:sz="4" w:space="0"/>
              <w:left w:val="single" w:color="auto" w:sz="4" w:space="0"/>
              <w:bottom w:val="single" w:color="auto" w:sz="4" w:space="0"/>
              <w:right w:val="single" w:color="auto" w:sz="4" w:space="0"/>
            </w:tcBorders>
            <w:noWrap w:val="0"/>
            <w:vAlign w:val="center"/>
          </w:tcPr>
          <w:p w14:paraId="320070E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14:paraId="2621792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2A4817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使用</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AA7883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4E5001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C3E3CB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12B4D5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AB3C1D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DEC85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8246BB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044FA00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62A39D1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421D3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347003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728ABB7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142421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3A93DC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28F3F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0" w:hRule="exact"/>
          <w:jc w:val="center"/>
        </w:trPr>
        <w:tc>
          <w:tcPr>
            <w:tcW w:w="487" w:type="dxa"/>
            <w:vMerge w:val="continue"/>
            <w:tcBorders>
              <w:top w:val="single" w:color="auto" w:sz="4" w:space="0"/>
              <w:left w:val="single" w:color="auto" w:sz="4" w:space="0"/>
              <w:bottom w:val="single" w:color="auto" w:sz="4" w:space="0"/>
              <w:right w:val="single" w:color="auto" w:sz="4" w:space="0"/>
            </w:tcBorders>
            <w:noWrap w:val="0"/>
            <w:vAlign w:val="center"/>
          </w:tcPr>
          <w:p w14:paraId="3F85BFF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14:paraId="64E19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eastAsia" w:ascii="Times New Roman" w:hAnsi="Times New Roman" w:eastAsia="楷体_GB2312" w:cs="Times New Roman"/>
                <w:i w:val="0"/>
                <w:iCs w:val="0"/>
                <w:color w:val="000000"/>
                <w:kern w:val="0"/>
                <w:sz w:val="18"/>
                <w:szCs w:val="18"/>
                <w:u w:val="none"/>
                <w:lang w:val="en-US" w:eastAsia="zh-CN" w:bidi="ar"/>
              </w:rPr>
              <w:t>高频/</w:t>
            </w:r>
            <w:r>
              <w:rPr>
                <w:rFonts w:hint="default" w:ascii="Times New Roman" w:hAnsi="Times New Roman" w:eastAsia="楷体_GB2312" w:cs="Times New Roman"/>
                <w:i w:val="0"/>
                <w:iCs w:val="0"/>
                <w:color w:val="000000"/>
                <w:kern w:val="0"/>
                <w:sz w:val="18"/>
                <w:szCs w:val="18"/>
                <w:u w:val="none"/>
                <w:lang w:val="en-US" w:eastAsia="zh-CN" w:bidi="ar"/>
              </w:rPr>
              <w:t>射频（皮肤）治疗仪</w:t>
            </w:r>
          </w:p>
        </w:tc>
        <w:tc>
          <w:tcPr>
            <w:tcW w:w="1084" w:type="dxa"/>
            <w:tcBorders>
              <w:top w:val="single" w:color="000000" w:sz="4" w:space="0"/>
              <w:left w:val="single" w:color="auto" w:sz="4" w:space="0"/>
              <w:right w:val="single" w:color="000000" w:sz="4" w:space="0"/>
            </w:tcBorders>
            <w:noWrap w:val="0"/>
            <w:vAlign w:val="center"/>
          </w:tcPr>
          <w:p w14:paraId="4089D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eastAsia" w:eastAsia="楷体_GB2312" w:cs="Times New Roman"/>
                <w:i w:val="0"/>
                <w:iCs w:val="0"/>
                <w:color w:val="000000"/>
                <w:kern w:val="0"/>
                <w:sz w:val="18"/>
                <w:szCs w:val="18"/>
                <w:u w:val="none"/>
                <w:lang w:val="en-US" w:eastAsia="zh-CN" w:bidi="ar"/>
              </w:rPr>
              <w:t>经营</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5D95A33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61E839A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805704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00B03A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FCD72E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3742AD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E876BC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7351E8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729CA29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69CA73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1CC14C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1F75D06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26DE0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EA91AC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3F0AD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exact"/>
          <w:jc w:val="center"/>
        </w:trPr>
        <w:tc>
          <w:tcPr>
            <w:tcW w:w="487" w:type="dxa"/>
            <w:vMerge w:val="continue"/>
            <w:tcBorders>
              <w:top w:val="single" w:color="auto" w:sz="4" w:space="0"/>
              <w:left w:val="single" w:color="auto" w:sz="4" w:space="0"/>
              <w:bottom w:val="single" w:color="auto" w:sz="4" w:space="0"/>
              <w:right w:val="single" w:color="auto" w:sz="4" w:space="0"/>
            </w:tcBorders>
            <w:noWrap w:val="0"/>
            <w:vAlign w:val="center"/>
          </w:tcPr>
          <w:p w14:paraId="39D5A4F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continue"/>
            <w:tcBorders>
              <w:top w:val="single" w:color="auto" w:sz="4" w:space="0"/>
              <w:left w:val="single" w:color="auto" w:sz="4" w:space="0"/>
              <w:bottom w:val="single" w:color="auto" w:sz="4" w:space="0"/>
              <w:right w:val="single" w:color="auto" w:sz="4" w:space="0"/>
            </w:tcBorders>
            <w:noWrap w:val="0"/>
            <w:vAlign w:val="center"/>
          </w:tcPr>
          <w:p w14:paraId="534170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738C3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使用</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6C7D1DD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615A67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DEC8BA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154D64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F43F41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76D460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0F06540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0DB5D45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5C38CB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5D3E4B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9ACB73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3993382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908A1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602B4D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44583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continue"/>
            <w:tcBorders>
              <w:top w:val="single" w:color="auto" w:sz="4" w:space="0"/>
              <w:left w:val="single" w:color="auto" w:sz="4" w:space="0"/>
              <w:bottom w:val="single" w:color="auto" w:sz="4" w:space="0"/>
              <w:right w:val="single" w:color="auto" w:sz="4" w:space="0"/>
            </w:tcBorders>
            <w:noWrap w:val="0"/>
            <w:vAlign w:val="center"/>
          </w:tcPr>
          <w:p w14:paraId="3A11040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restart"/>
            <w:tcBorders>
              <w:top w:val="single" w:color="auto" w:sz="4" w:space="0"/>
              <w:left w:val="single" w:color="auto" w:sz="4" w:space="0"/>
              <w:bottom w:val="single" w:color="auto" w:sz="4" w:space="0"/>
              <w:right w:val="single" w:color="auto" w:sz="4" w:space="0"/>
            </w:tcBorders>
            <w:noWrap w:val="0"/>
            <w:vAlign w:val="center"/>
          </w:tcPr>
          <w:p w14:paraId="3B435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其他产品</w:t>
            </w: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1F0A91E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生产</w:t>
            </w:r>
            <w:r>
              <w:rPr>
                <w:rFonts w:hint="eastAsia" w:eastAsia="楷体_GB2312" w:cs="Times New Roman"/>
                <w:i w:val="0"/>
                <w:iCs w:val="0"/>
                <w:color w:val="000000"/>
                <w:kern w:val="0"/>
                <w:sz w:val="18"/>
                <w:szCs w:val="18"/>
                <w:u w:val="none"/>
                <w:lang w:val="en-US" w:eastAsia="zh-CN" w:bidi="ar"/>
              </w:rPr>
              <w:t>（一类）</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A1EAC3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69B746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20FBE9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6894A0D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643BEB5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6CBE88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894071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6B28E11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3C33CB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448B256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A2F670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3F1668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0A83F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B1AADE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08D9C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top w:val="single" w:color="auto" w:sz="4" w:space="0"/>
              <w:left w:val="single" w:color="auto" w:sz="4" w:space="0"/>
              <w:bottom w:val="single" w:color="auto" w:sz="4" w:space="0"/>
              <w:right w:val="single" w:color="000000" w:sz="4" w:space="0"/>
            </w:tcBorders>
            <w:noWrap w:val="0"/>
            <w:vAlign w:val="center"/>
          </w:tcPr>
          <w:p w14:paraId="3F88BF2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continue"/>
            <w:tcBorders>
              <w:top w:val="single" w:color="auto" w:sz="4" w:space="0"/>
              <w:left w:val="single" w:color="000000" w:sz="4" w:space="0"/>
              <w:bottom w:val="single" w:color="auto" w:sz="4" w:space="0"/>
              <w:right w:val="single" w:color="auto" w:sz="4" w:space="0"/>
            </w:tcBorders>
            <w:noWrap w:val="0"/>
            <w:vAlign w:val="center"/>
          </w:tcPr>
          <w:p w14:paraId="22CB840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1BC7F9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19344DC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77AD7B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631E93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D31B78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6FA7BD4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CA92F4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2056A7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2170D3F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409608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116910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FF8161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60CD3B6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0CEA8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36E0A8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3B70E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continue"/>
            <w:tcBorders>
              <w:top w:val="single" w:color="auto" w:sz="4" w:space="0"/>
              <w:left w:val="single" w:color="auto" w:sz="4" w:space="0"/>
              <w:bottom w:val="single" w:color="auto" w:sz="4" w:space="0"/>
              <w:right w:val="single" w:color="000000" w:sz="4" w:space="0"/>
            </w:tcBorders>
            <w:noWrap w:val="0"/>
            <w:vAlign w:val="center"/>
          </w:tcPr>
          <w:p w14:paraId="5AC1921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450" w:type="dxa"/>
            <w:vMerge w:val="continue"/>
            <w:tcBorders>
              <w:top w:val="single" w:color="auto" w:sz="4" w:space="0"/>
              <w:left w:val="single" w:color="000000" w:sz="4" w:space="0"/>
              <w:bottom w:val="single" w:color="auto" w:sz="4" w:space="0"/>
              <w:right w:val="single" w:color="auto" w:sz="4" w:space="0"/>
            </w:tcBorders>
            <w:noWrap w:val="0"/>
            <w:vAlign w:val="center"/>
          </w:tcPr>
          <w:p w14:paraId="5B87534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auto" w:sz="4" w:space="0"/>
              <w:bottom w:val="single" w:color="000000" w:sz="4" w:space="0"/>
              <w:right w:val="single" w:color="000000" w:sz="4" w:space="0"/>
            </w:tcBorders>
            <w:noWrap w:val="0"/>
            <w:vAlign w:val="center"/>
          </w:tcPr>
          <w:p w14:paraId="430ED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使用</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63EC93D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78B69B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2118E0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CEACDC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250A15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65BCA84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0AA5F06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3D96ED9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CAB4E3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DDB98E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70FA84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4B11609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9DFB2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CD12E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0914A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exact"/>
          <w:jc w:val="center"/>
        </w:trPr>
        <w:tc>
          <w:tcPr>
            <w:tcW w:w="1937" w:type="dxa"/>
            <w:gridSpan w:val="2"/>
            <w:vMerge w:val="restart"/>
            <w:tcBorders>
              <w:top w:val="single" w:color="auto" w:sz="4" w:space="0"/>
              <w:left w:val="single" w:color="000000" w:sz="4" w:space="0"/>
              <w:right w:val="single" w:color="000000" w:sz="4" w:space="0"/>
            </w:tcBorders>
            <w:noWrap w:val="0"/>
            <w:vAlign w:val="center"/>
          </w:tcPr>
          <w:p w14:paraId="09BE2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青少年近视防治相关医疗器械</w:t>
            </w:r>
          </w:p>
        </w:tc>
        <w:tc>
          <w:tcPr>
            <w:tcW w:w="1084" w:type="dxa"/>
            <w:tcBorders>
              <w:top w:val="single" w:color="000000" w:sz="4" w:space="0"/>
              <w:left w:val="single" w:color="000000" w:sz="4" w:space="0"/>
              <w:right w:val="single" w:color="000000" w:sz="4" w:space="0"/>
            </w:tcBorders>
            <w:noWrap w:val="0"/>
            <w:vAlign w:val="center"/>
          </w:tcPr>
          <w:p w14:paraId="3BCF299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eastAsia="楷体_GB2312" w:cs="Times New Roman"/>
                <w:i w:val="0"/>
                <w:iCs w:val="0"/>
                <w:color w:val="000000"/>
                <w:kern w:val="0"/>
                <w:sz w:val="18"/>
                <w:szCs w:val="18"/>
                <w:u w:val="none"/>
                <w:lang w:val="en-US" w:eastAsia="zh-CN" w:bidi="ar"/>
              </w:rPr>
              <w:t>生产（一类）</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57CDCF2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36673AB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29B5F84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110A1E0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7EE09E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8BA052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56CFF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71393B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EB1E05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54E2E7C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04F14B5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2F1439D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A5EAC3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1FC2DD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6E68C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5" w:hRule="exact"/>
          <w:jc w:val="center"/>
        </w:trPr>
        <w:tc>
          <w:tcPr>
            <w:tcW w:w="1937" w:type="dxa"/>
            <w:gridSpan w:val="2"/>
            <w:vMerge w:val="continue"/>
            <w:tcBorders>
              <w:left w:val="single" w:color="000000" w:sz="4" w:space="0"/>
              <w:bottom w:val="single" w:color="000000" w:sz="4" w:space="0"/>
              <w:right w:val="single" w:color="000000" w:sz="4" w:space="0"/>
            </w:tcBorders>
            <w:noWrap w:val="0"/>
            <w:vAlign w:val="center"/>
          </w:tcPr>
          <w:p w14:paraId="293EEB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000000" w:sz="4" w:space="0"/>
              <w:bottom w:val="single" w:color="auto" w:sz="4" w:space="0"/>
              <w:right w:val="single" w:color="000000" w:sz="4" w:space="0"/>
            </w:tcBorders>
            <w:noWrap w:val="0"/>
            <w:vAlign w:val="center"/>
          </w:tcPr>
          <w:p w14:paraId="49C82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000000" w:sz="4" w:space="0"/>
              <w:left w:val="single" w:color="000000" w:sz="4" w:space="0"/>
              <w:bottom w:val="single" w:color="auto" w:sz="4" w:space="0"/>
              <w:right w:val="single" w:color="000000" w:sz="4" w:space="0"/>
            </w:tcBorders>
            <w:noWrap w:val="0"/>
            <w:vAlign w:val="center"/>
          </w:tcPr>
          <w:p w14:paraId="6025424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65A8E0E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6CCE5A3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690602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C69016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3B057AF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411AD17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64C9FAD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72C082A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581A994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E8F241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41831DF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0C4182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F4783F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C1F6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8" w:hRule="exact"/>
          <w:jc w:val="center"/>
        </w:trPr>
        <w:tc>
          <w:tcPr>
            <w:tcW w:w="487" w:type="dxa"/>
            <w:tcBorders>
              <w:top w:val="single" w:color="000000" w:sz="4" w:space="0"/>
              <w:left w:val="single" w:color="000000" w:sz="4" w:space="0"/>
              <w:bottom w:val="single" w:color="000000" w:sz="4" w:space="0"/>
              <w:right w:val="single" w:color="000000" w:sz="4" w:space="0"/>
            </w:tcBorders>
            <w:noWrap w:val="0"/>
            <w:vAlign w:val="center"/>
          </w:tcPr>
          <w:p w14:paraId="391B1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其中</w:t>
            </w:r>
          </w:p>
        </w:tc>
        <w:tc>
          <w:tcPr>
            <w:tcW w:w="1450" w:type="dxa"/>
            <w:tcBorders>
              <w:top w:val="single" w:color="000000" w:sz="4" w:space="0"/>
              <w:left w:val="single" w:color="000000" w:sz="4" w:space="0"/>
              <w:bottom w:val="single" w:color="000000" w:sz="4" w:space="0"/>
              <w:right w:val="single" w:color="auto" w:sz="4" w:space="0"/>
            </w:tcBorders>
            <w:noWrap w:val="0"/>
            <w:vAlign w:val="center"/>
          </w:tcPr>
          <w:p w14:paraId="459D5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彩色隐形眼镜</w:t>
            </w:r>
          </w:p>
        </w:tc>
        <w:tc>
          <w:tcPr>
            <w:tcW w:w="1084" w:type="dxa"/>
            <w:tcBorders>
              <w:top w:val="single" w:color="auto" w:sz="4" w:space="0"/>
              <w:left w:val="single" w:color="auto" w:sz="4" w:space="0"/>
              <w:bottom w:val="single" w:color="auto" w:sz="4" w:space="0"/>
              <w:right w:val="single" w:color="auto" w:sz="4" w:space="0"/>
            </w:tcBorders>
            <w:noWrap w:val="0"/>
            <w:vAlign w:val="center"/>
          </w:tcPr>
          <w:p w14:paraId="7F42A2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31EA0CF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DE46ED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A3D833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FD02EB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0C9128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6A0120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5ED8B5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FDF127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C0C549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2CFDC7F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D9D4F6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6E74C5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2CD9C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055200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6DF2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8" w:hRule="exact"/>
          <w:jc w:val="center"/>
        </w:trPr>
        <w:tc>
          <w:tcPr>
            <w:tcW w:w="193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F9E7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辅助生殖类医疗器械</w:t>
            </w:r>
          </w:p>
        </w:tc>
        <w:tc>
          <w:tcPr>
            <w:tcW w:w="1084" w:type="dxa"/>
            <w:tcBorders>
              <w:top w:val="single" w:color="auto" w:sz="4" w:space="0"/>
              <w:left w:val="single" w:color="000000" w:sz="4" w:space="0"/>
              <w:right w:val="single" w:color="000000" w:sz="4" w:space="0"/>
            </w:tcBorders>
            <w:noWrap w:val="0"/>
            <w:vAlign w:val="center"/>
          </w:tcPr>
          <w:p w14:paraId="6F0B5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经营</w:t>
            </w:r>
          </w:p>
        </w:tc>
        <w:tc>
          <w:tcPr>
            <w:tcW w:w="833" w:type="dxa"/>
            <w:tcBorders>
              <w:top w:val="single" w:color="auto" w:sz="4" w:space="0"/>
              <w:left w:val="single" w:color="000000" w:sz="4" w:space="0"/>
              <w:bottom w:val="single" w:color="000000" w:sz="4" w:space="0"/>
              <w:right w:val="single" w:color="000000" w:sz="4" w:space="0"/>
            </w:tcBorders>
            <w:noWrap w:val="0"/>
            <w:vAlign w:val="center"/>
          </w:tcPr>
          <w:p w14:paraId="27224C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08D756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12960A9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4A80113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425738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E7FBF4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7B89EA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407B448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97DE0C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1342E14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453AA1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7DB453E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61694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21B43D1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682AB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193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AA8A0B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84" w:type="dxa"/>
            <w:tcBorders>
              <w:top w:val="single" w:color="000000" w:sz="4" w:space="0"/>
              <w:left w:val="single" w:color="000000" w:sz="4" w:space="0"/>
              <w:bottom w:val="single" w:color="000000" w:sz="4" w:space="0"/>
              <w:right w:val="single" w:color="000000" w:sz="4" w:space="0"/>
            </w:tcBorders>
            <w:noWrap w:val="0"/>
            <w:vAlign w:val="center"/>
          </w:tcPr>
          <w:p w14:paraId="72A64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使用</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AFA313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232B972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83A136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75C6C7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CF3A07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A3CE9E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7BBB0D2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24371FF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172A2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FA70ED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3DF007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260BAC0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C3C94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04073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C305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3021" w:type="dxa"/>
            <w:gridSpan w:val="3"/>
            <w:tcBorders>
              <w:top w:val="single" w:color="000000" w:sz="4" w:space="0"/>
              <w:left w:val="single" w:color="000000" w:sz="4" w:space="0"/>
              <w:bottom w:val="single" w:color="000000" w:sz="4" w:space="0"/>
              <w:right w:val="single" w:color="000000" w:sz="4" w:space="0"/>
            </w:tcBorders>
            <w:noWrap w:val="0"/>
            <w:vAlign w:val="center"/>
          </w:tcPr>
          <w:p w14:paraId="66D47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default" w:ascii="Times New Roman" w:hAnsi="Times New Roman" w:eastAsia="楷体_GB2312" w:cs="Times New Roman"/>
                <w:i w:val="0"/>
                <w:iCs w:val="0"/>
                <w:color w:val="000000"/>
                <w:kern w:val="0"/>
                <w:sz w:val="18"/>
                <w:szCs w:val="18"/>
                <w:u w:val="none"/>
                <w:lang w:val="en-US" w:eastAsia="zh-CN" w:bidi="ar"/>
              </w:rPr>
              <w:t>医疗器械网络销售企业</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13D15AD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D7D9B6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6FF5F1A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20020E7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2D2A66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4A7188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73C8164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5B0C07A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E1F42D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0EAC5DF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2623216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37D62A9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B6FC0C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6DD9FB2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59FA9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restart"/>
            <w:tcBorders>
              <w:top w:val="single" w:color="000000" w:sz="4" w:space="0"/>
              <w:left w:val="single" w:color="000000" w:sz="4" w:space="0"/>
              <w:right w:val="single" w:color="000000" w:sz="4" w:space="0"/>
            </w:tcBorders>
            <w:noWrap w:val="0"/>
            <w:vAlign w:val="center"/>
          </w:tcPr>
          <w:p w14:paraId="3FD58EA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lang w:val="en-US" w:eastAsia="zh-CN"/>
              </w:rPr>
            </w:pPr>
            <w:r>
              <w:rPr>
                <w:rFonts w:hint="default" w:ascii="Times New Roman" w:hAnsi="Times New Roman" w:eastAsia="楷体_GB2312" w:cs="Times New Roman"/>
                <w:i w:val="0"/>
                <w:iCs w:val="0"/>
                <w:color w:val="000000"/>
                <w:sz w:val="18"/>
                <w:szCs w:val="18"/>
                <w:u w:val="none"/>
                <w:lang w:val="en-US" w:eastAsia="zh-CN"/>
              </w:rPr>
              <w:t>其中</w:t>
            </w:r>
          </w:p>
        </w:tc>
        <w:tc>
          <w:tcPr>
            <w:tcW w:w="2534" w:type="dxa"/>
            <w:gridSpan w:val="2"/>
            <w:tcBorders>
              <w:top w:val="single" w:color="000000" w:sz="4" w:space="0"/>
              <w:left w:val="single" w:color="000000" w:sz="4" w:space="0"/>
              <w:bottom w:val="single" w:color="000000" w:sz="4" w:space="0"/>
              <w:right w:val="single" w:color="000000" w:sz="4" w:space="0"/>
            </w:tcBorders>
            <w:noWrap w:val="0"/>
            <w:vAlign w:val="center"/>
          </w:tcPr>
          <w:p w14:paraId="1772F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sz w:val="18"/>
                <w:szCs w:val="18"/>
                <w:u w:val="none"/>
              </w:rPr>
            </w:pPr>
            <w:r>
              <w:rPr>
                <w:rFonts w:hint="eastAsia" w:ascii="Times New Roman" w:hAnsi="Times New Roman" w:eastAsia="楷体_GB2312" w:cs="Times New Roman"/>
                <w:i w:val="0"/>
                <w:iCs w:val="0"/>
                <w:color w:val="000000"/>
                <w:kern w:val="0"/>
                <w:sz w:val="18"/>
                <w:szCs w:val="18"/>
                <w:u w:val="none"/>
                <w:lang w:val="en-US" w:eastAsia="zh-CN" w:bidi="ar"/>
              </w:rPr>
              <w:t>医疗美容</w:t>
            </w:r>
            <w:r>
              <w:rPr>
                <w:rFonts w:hint="default" w:ascii="Times New Roman" w:hAnsi="Times New Roman" w:eastAsia="楷体_GB2312" w:cs="Times New Roman"/>
                <w:i w:val="0"/>
                <w:iCs w:val="0"/>
                <w:color w:val="000000"/>
                <w:kern w:val="0"/>
                <w:sz w:val="18"/>
                <w:szCs w:val="18"/>
                <w:u w:val="none"/>
                <w:lang w:val="en-US" w:eastAsia="zh-CN" w:bidi="ar"/>
              </w:rPr>
              <w:t>医疗器械</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7B30BA0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4ACBEF3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F94158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59D1E34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E0D0F6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7A34067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48166B9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3D0CA33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3B3E0E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51BCEC5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4ADDD5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64C84C8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70A10A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0982C96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76687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87" w:type="dxa"/>
            <w:vMerge w:val="continue"/>
            <w:tcBorders>
              <w:left w:val="single" w:color="000000" w:sz="4" w:space="0"/>
              <w:right w:val="single" w:color="000000" w:sz="4" w:space="0"/>
            </w:tcBorders>
            <w:noWrap w:val="0"/>
            <w:vAlign w:val="center"/>
          </w:tcPr>
          <w:p w14:paraId="5F6F303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2534" w:type="dxa"/>
            <w:gridSpan w:val="2"/>
            <w:tcBorders>
              <w:top w:val="single" w:color="000000" w:sz="4" w:space="0"/>
              <w:left w:val="single" w:color="000000" w:sz="4" w:space="0"/>
              <w:bottom w:val="single" w:color="000000" w:sz="4" w:space="0"/>
              <w:right w:val="single" w:color="000000" w:sz="4" w:space="0"/>
            </w:tcBorders>
            <w:noWrap w:val="0"/>
            <w:vAlign w:val="center"/>
          </w:tcPr>
          <w:p w14:paraId="78DE5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kern w:val="0"/>
                <w:sz w:val="18"/>
                <w:szCs w:val="18"/>
                <w:u w:val="none"/>
                <w:lang w:val="en-US" w:eastAsia="zh-CN" w:bidi="ar"/>
              </w:rPr>
            </w:pPr>
            <w:r>
              <w:rPr>
                <w:rFonts w:hint="default" w:ascii="Times New Roman" w:hAnsi="Times New Roman" w:eastAsia="楷体_GB2312" w:cs="Times New Roman"/>
                <w:i w:val="0"/>
                <w:iCs w:val="0"/>
                <w:color w:val="000000"/>
                <w:kern w:val="0"/>
                <w:sz w:val="18"/>
                <w:szCs w:val="18"/>
                <w:u w:val="none"/>
                <w:lang w:val="en-US" w:eastAsia="zh-CN" w:bidi="ar"/>
              </w:rPr>
              <w:t>青少年近视防治相关</w:t>
            </w:r>
          </w:p>
          <w:p w14:paraId="0E621F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kern w:val="2"/>
                <w:sz w:val="18"/>
                <w:szCs w:val="18"/>
                <w:u w:val="none"/>
                <w:lang w:val="en-US" w:eastAsia="zh-CN" w:bidi="ar-SA"/>
              </w:rPr>
            </w:pPr>
            <w:r>
              <w:rPr>
                <w:rFonts w:hint="default" w:ascii="Times New Roman" w:hAnsi="Times New Roman" w:eastAsia="楷体_GB2312" w:cs="Times New Roman"/>
                <w:i w:val="0"/>
                <w:iCs w:val="0"/>
                <w:color w:val="000000"/>
                <w:kern w:val="0"/>
                <w:sz w:val="18"/>
                <w:szCs w:val="18"/>
                <w:u w:val="none"/>
                <w:lang w:val="en-US" w:eastAsia="zh-CN" w:bidi="ar"/>
              </w:rPr>
              <w:t>医疗器械</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4998A3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228FC3A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E92629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3BA17DF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240EA8E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11A3993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A097BE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464FB1A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1455B7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3C5B370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412249B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7721A69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382F8B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3EFCEF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0EAD1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83" w:hRule="exact"/>
          <w:jc w:val="center"/>
        </w:trPr>
        <w:tc>
          <w:tcPr>
            <w:tcW w:w="487" w:type="dxa"/>
            <w:vMerge w:val="continue"/>
            <w:tcBorders>
              <w:left w:val="single" w:color="000000" w:sz="4" w:space="0"/>
              <w:right w:val="single" w:color="000000" w:sz="4" w:space="0"/>
            </w:tcBorders>
            <w:noWrap w:val="0"/>
            <w:vAlign w:val="center"/>
          </w:tcPr>
          <w:p w14:paraId="2F52E4E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2534" w:type="dxa"/>
            <w:gridSpan w:val="2"/>
            <w:tcBorders>
              <w:top w:val="single" w:color="000000" w:sz="4" w:space="0"/>
              <w:left w:val="single" w:color="000000" w:sz="4" w:space="0"/>
              <w:bottom w:val="single" w:color="000000" w:sz="4" w:space="0"/>
              <w:right w:val="single" w:color="000000" w:sz="4" w:space="0"/>
            </w:tcBorders>
            <w:noWrap w:val="0"/>
            <w:vAlign w:val="center"/>
          </w:tcPr>
          <w:p w14:paraId="72D31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kern w:val="2"/>
                <w:sz w:val="18"/>
                <w:szCs w:val="18"/>
                <w:u w:val="none"/>
                <w:lang w:val="en-US" w:eastAsia="zh-CN" w:bidi="ar-SA"/>
              </w:rPr>
            </w:pPr>
            <w:r>
              <w:rPr>
                <w:rFonts w:hint="default" w:ascii="Times New Roman" w:hAnsi="Times New Roman" w:eastAsia="楷体_GB2312" w:cs="Times New Roman"/>
                <w:i w:val="0"/>
                <w:iCs w:val="0"/>
                <w:color w:val="000000"/>
                <w:kern w:val="0"/>
                <w:sz w:val="18"/>
                <w:szCs w:val="18"/>
                <w:u w:val="none"/>
                <w:lang w:val="en-US" w:eastAsia="zh-CN" w:bidi="ar"/>
              </w:rPr>
              <w:t>彩色隐形眼镜</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0AA6EE5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252AF2C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76B90E5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7E5C07A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3C7AC4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05030512">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11CC204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71889698">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7F2CE06">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651CD48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7945763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50EA5A3C">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5E6C501">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5CFCFC0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r w14:paraId="15277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487" w:type="dxa"/>
            <w:vMerge w:val="continue"/>
            <w:tcBorders>
              <w:left w:val="single" w:color="000000" w:sz="4" w:space="0"/>
              <w:bottom w:val="single" w:color="000000" w:sz="4" w:space="0"/>
              <w:right w:val="single" w:color="000000" w:sz="4" w:space="0"/>
            </w:tcBorders>
            <w:noWrap w:val="0"/>
            <w:vAlign w:val="center"/>
          </w:tcPr>
          <w:p w14:paraId="284CC4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2534" w:type="dxa"/>
            <w:gridSpan w:val="2"/>
            <w:tcBorders>
              <w:top w:val="single" w:color="000000" w:sz="4" w:space="0"/>
              <w:left w:val="single" w:color="000000" w:sz="4" w:space="0"/>
              <w:bottom w:val="single" w:color="000000" w:sz="4" w:space="0"/>
              <w:right w:val="single" w:color="000000" w:sz="4" w:space="0"/>
            </w:tcBorders>
            <w:noWrap w:val="0"/>
            <w:vAlign w:val="center"/>
          </w:tcPr>
          <w:p w14:paraId="3DB4E9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楷体_GB2312" w:cs="Times New Roman"/>
                <w:i w:val="0"/>
                <w:iCs w:val="0"/>
                <w:color w:val="000000"/>
                <w:kern w:val="0"/>
                <w:sz w:val="18"/>
                <w:szCs w:val="18"/>
                <w:u w:val="none"/>
                <w:lang w:val="en-US" w:eastAsia="zh-CN" w:bidi="ar"/>
              </w:rPr>
            </w:pPr>
            <w:r>
              <w:rPr>
                <w:rFonts w:hint="eastAsia" w:ascii="Times New Roman" w:hAnsi="Times New Roman" w:eastAsia="楷体_GB2312" w:cs="Times New Roman"/>
                <w:i w:val="0"/>
                <w:iCs w:val="0"/>
                <w:color w:val="000000"/>
                <w:kern w:val="0"/>
                <w:sz w:val="18"/>
                <w:szCs w:val="18"/>
                <w:u w:val="none"/>
                <w:lang w:val="en-US" w:eastAsia="zh-CN" w:bidi="ar"/>
              </w:rPr>
              <w:t>避孕套</w:t>
            </w: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4A98ADE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33" w:type="dxa"/>
            <w:tcBorders>
              <w:top w:val="single" w:color="000000" w:sz="4" w:space="0"/>
              <w:left w:val="single" w:color="000000" w:sz="4" w:space="0"/>
              <w:bottom w:val="single" w:color="000000" w:sz="4" w:space="0"/>
              <w:right w:val="single" w:color="000000" w:sz="4" w:space="0"/>
            </w:tcBorders>
            <w:noWrap w:val="0"/>
            <w:vAlign w:val="center"/>
          </w:tcPr>
          <w:p w14:paraId="153C1779">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67" w:type="dxa"/>
            <w:tcBorders>
              <w:top w:val="single" w:color="000000" w:sz="4" w:space="0"/>
              <w:left w:val="single" w:color="000000" w:sz="4" w:space="0"/>
              <w:bottom w:val="single" w:color="000000" w:sz="4" w:space="0"/>
              <w:right w:val="single" w:color="000000" w:sz="4" w:space="0"/>
            </w:tcBorders>
            <w:noWrap w:val="0"/>
            <w:vAlign w:val="center"/>
          </w:tcPr>
          <w:p w14:paraId="45F3053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noWrap w:val="0"/>
            <w:vAlign w:val="center"/>
          </w:tcPr>
          <w:p w14:paraId="0B4D69C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31AA45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33" w:type="dxa"/>
            <w:tcBorders>
              <w:top w:val="single" w:color="000000" w:sz="4" w:space="0"/>
              <w:left w:val="single" w:color="000000" w:sz="4" w:space="0"/>
              <w:bottom w:val="single" w:color="000000" w:sz="4" w:space="0"/>
              <w:right w:val="single" w:color="000000" w:sz="4" w:space="0"/>
            </w:tcBorders>
            <w:noWrap w:val="0"/>
            <w:vAlign w:val="center"/>
          </w:tcPr>
          <w:p w14:paraId="2332FDF7">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2E8375F3">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672" w:type="dxa"/>
            <w:tcBorders>
              <w:top w:val="single" w:color="000000" w:sz="4" w:space="0"/>
              <w:left w:val="single" w:color="000000" w:sz="4" w:space="0"/>
              <w:bottom w:val="single" w:color="000000" w:sz="4" w:space="0"/>
              <w:right w:val="single" w:color="000000" w:sz="4" w:space="0"/>
            </w:tcBorders>
            <w:noWrap w:val="0"/>
            <w:vAlign w:val="center"/>
          </w:tcPr>
          <w:p w14:paraId="6C5B4E2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5285D78E">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84" w:type="dxa"/>
            <w:tcBorders>
              <w:top w:val="single" w:color="000000" w:sz="4" w:space="0"/>
              <w:left w:val="single" w:color="000000" w:sz="4" w:space="0"/>
              <w:bottom w:val="single" w:color="000000" w:sz="4" w:space="0"/>
              <w:right w:val="single" w:color="000000" w:sz="4" w:space="0"/>
            </w:tcBorders>
            <w:noWrap w:val="0"/>
            <w:vAlign w:val="center"/>
          </w:tcPr>
          <w:p w14:paraId="74235385">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00" w:type="dxa"/>
            <w:tcBorders>
              <w:top w:val="single" w:color="000000" w:sz="4" w:space="0"/>
              <w:left w:val="single" w:color="000000" w:sz="4" w:space="0"/>
              <w:bottom w:val="single" w:color="000000" w:sz="4" w:space="0"/>
              <w:right w:val="single" w:color="000000" w:sz="4" w:space="0"/>
            </w:tcBorders>
            <w:noWrap w:val="0"/>
            <w:vAlign w:val="center"/>
          </w:tcPr>
          <w:p w14:paraId="3AB66AAD">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866" w:type="dxa"/>
            <w:tcBorders>
              <w:top w:val="single" w:color="000000" w:sz="4" w:space="0"/>
              <w:left w:val="single" w:color="000000" w:sz="4" w:space="0"/>
              <w:bottom w:val="single" w:color="000000" w:sz="4" w:space="0"/>
              <w:right w:val="single" w:color="000000" w:sz="4" w:space="0"/>
            </w:tcBorders>
            <w:noWrap w:val="0"/>
            <w:vAlign w:val="center"/>
          </w:tcPr>
          <w:p w14:paraId="7260DB20">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7C034DA">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c>
          <w:tcPr>
            <w:tcW w:w="919" w:type="dxa"/>
            <w:tcBorders>
              <w:top w:val="single" w:color="000000" w:sz="4" w:space="0"/>
              <w:left w:val="single" w:color="000000" w:sz="4" w:space="0"/>
              <w:bottom w:val="single" w:color="000000" w:sz="4" w:space="0"/>
              <w:right w:val="single" w:color="000000" w:sz="4" w:space="0"/>
            </w:tcBorders>
            <w:noWrap w:val="0"/>
            <w:vAlign w:val="center"/>
          </w:tcPr>
          <w:p w14:paraId="48CC153F">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楷体_GB2312" w:cs="Times New Roman"/>
                <w:i w:val="0"/>
                <w:iCs w:val="0"/>
                <w:color w:val="000000"/>
                <w:sz w:val="18"/>
                <w:szCs w:val="18"/>
                <w:u w:val="none"/>
              </w:rPr>
            </w:pPr>
          </w:p>
        </w:tc>
      </w:tr>
    </w:tbl>
    <w:p w14:paraId="1A6ADC6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Times New Roman" w:hAnsi="Times New Roman" w:eastAsia="楷体_GB2312" w:cs="Times New Roman"/>
          <w:i w:val="0"/>
          <w:iCs w:val="0"/>
          <w:color w:val="000000"/>
          <w:kern w:val="0"/>
          <w:sz w:val="18"/>
          <w:szCs w:val="18"/>
          <w:u w:val="none"/>
          <w:lang w:val="en-US" w:eastAsia="zh-CN" w:bidi="ar"/>
        </w:rPr>
      </w:pPr>
      <w:r>
        <w:rPr>
          <w:rFonts w:hint="default" w:ascii="Times New Roman" w:hAnsi="Times New Roman" w:eastAsia="楷体_GB2312" w:cs="Times New Roman"/>
          <w:i w:val="0"/>
          <w:iCs w:val="0"/>
          <w:color w:val="000000"/>
          <w:kern w:val="0"/>
          <w:sz w:val="18"/>
          <w:szCs w:val="18"/>
          <w:u w:val="none"/>
          <w:lang w:val="en-US" w:eastAsia="zh-CN" w:bidi="ar"/>
        </w:rPr>
        <w:t>填报单位：</w:t>
      </w:r>
      <w:r>
        <w:rPr>
          <w:rFonts w:hint="default" w:ascii="Times New Roman" w:hAnsi="Times New Roman" w:eastAsia="楷体_GB2312" w:cs="Times New Roman"/>
          <w:i w:val="0"/>
          <w:iCs w:val="0"/>
          <w:color w:val="000000"/>
          <w:kern w:val="0"/>
          <w:sz w:val="18"/>
          <w:szCs w:val="18"/>
          <w:u w:val="single"/>
          <w:lang w:val="en-US" w:eastAsia="zh-CN" w:bidi="ar"/>
        </w:rPr>
        <w:t xml:space="preserve">                  </w:t>
      </w:r>
      <w:r>
        <w:rPr>
          <w:rFonts w:hint="default" w:ascii="Times New Roman" w:hAnsi="Times New Roman" w:eastAsia="楷体_GB2312" w:cs="Times New Roman"/>
          <w:i w:val="0"/>
          <w:iCs w:val="0"/>
          <w:color w:val="000000"/>
          <w:kern w:val="0"/>
          <w:sz w:val="18"/>
          <w:szCs w:val="18"/>
          <w:u w:val="none"/>
          <w:lang w:val="en-US" w:eastAsia="zh-CN" w:bidi="ar"/>
        </w:rPr>
        <w:t xml:space="preserve">      填报时间：</w:t>
      </w:r>
      <w:r>
        <w:rPr>
          <w:rFonts w:hint="default" w:ascii="Times New Roman" w:hAnsi="Times New Roman" w:eastAsia="楷体_GB2312" w:cs="Times New Roman"/>
          <w:i w:val="0"/>
          <w:iCs w:val="0"/>
          <w:color w:val="000000"/>
          <w:kern w:val="0"/>
          <w:sz w:val="18"/>
          <w:szCs w:val="18"/>
          <w:u w:val="single"/>
          <w:lang w:val="en-US" w:eastAsia="zh-CN" w:bidi="ar"/>
        </w:rPr>
        <w:t xml:space="preserve">                  </w:t>
      </w:r>
      <w:r>
        <w:rPr>
          <w:rFonts w:hint="default" w:ascii="Times New Roman" w:hAnsi="Times New Roman" w:eastAsia="楷体_GB2312" w:cs="Times New Roman"/>
          <w:i w:val="0"/>
          <w:iCs w:val="0"/>
          <w:color w:val="000000"/>
          <w:kern w:val="0"/>
          <w:sz w:val="18"/>
          <w:szCs w:val="18"/>
          <w:u w:val="none"/>
          <w:lang w:val="en-US" w:eastAsia="zh-CN" w:bidi="ar"/>
        </w:rPr>
        <w:t xml:space="preserve">      填表人：</w:t>
      </w:r>
      <w:r>
        <w:rPr>
          <w:rFonts w:hint="default" w:ascii="Times New Roman" w:hAnsi="Times New Roman" w:eastAsia="楷体_GB2312" w:cs="Times New Roman"/>
          <w:i w:val="0"/>
          <w:iCs w:val="0"/>
          <w:color w:val="000000"/>
          <w:kern w:val="0"/>
          <w:sz w:val="18"/>
          <w:szCs w:val="18"/>
          <w:u w:val="single"/>
          <w:lang w:val="en-US" w:eastAsia="zh-CN" w:bidi="ar"/>
        </w:rPr>
        <w:t xml:space="preserve">                  </w:t>
      </w:r>
      <w:r>
        <w:rPr>
          <w:rFonts w:hint="default" w:ascii="Times New Roman" w:hAnsi="Times New Roman" w:eastAsia="楷体_GB2312" w:cs="Times New Roman"/>
          <w:i w:val="0"/>
          <w:iCs w:val="0"/>
          <w:color w:val="000000"/>
          <w:kern w:val="0"/>
          <w:sz w:val="18"/>
          <w:szCs w:val="18"/>
          <w:u w:val="none"/>
          <w:lang w:val="en-US" w:eastAsia="zh-CN" w:bidi="ar"/>
        </w:rPr>
        <w:t xml:space="preserve">      联系方式：</w:t>
      </w:r>
      <w:r>
        <w:rPr>
          <w:rFonts w:hint="default" w:ascii="Times New Roman" w:hAnsi="Times New Roman" w:eastAsia="楷体_GB2312" w:cs="Times New Roman"/>
          <w:i w:val="0"/>
          <w:iCs w:val="0"/>
          <w:color w:val="000000"/>
          <w:kern w:val="0"/>
          <w:sz w:val="18"/>
          <w:szCs w:val="18"/>
          <w:u w:val="single"/>
          <w:lang w:val="en-US" w:eastAsia="zh-CN" w:bidi="ar"/>
        </w:rPr>
        <w:t xml:space="preserve">                  </w:t>
      </w:r>
      <w:r>
        <w:rPr>
          <w:rFonts w:hint="default" w:ascii="Times New Roman" w:hAnsi="Times New Roman" w:eastAsia="楷体_GB2312" w:cs="Times New Roman"/>
          <w:i w:val="0"/>
          <w:iCs w:val="0"/>
          <w:color w:val="000000"/>
          <w:kern w:val="0"/>
          <w:sz w:val="18"/>
          <w:szCs w:val="18"/>
          <w:u w:val="none"/>
          <w:lang w:val="en-US" w:eastAsia="zh-CN" w:bidi="ar"/>
        </w:rPr>
        <w:t xml:space="preserve">       </w:t>
      </w:r>
    </w:p>
    <w:p w14:paraId="495A990E">
      <w:pPr>
        <w:keepNext w:val="0"/>
        <w:keepLines w:val="0"/>
        <w:pageBreakBefore w:val="0"/>
        <w:widowControl/>
        <w:kinsoku/>
        <w:wordWrap/>
        <w:overflowPunct/>
        <w:topLinePunct w:val="0"/>
        <w:autoSpaceDE/>
        <w:autoSpaceDN/>
        <w:bidi w:val="0"/>
        <w:adjustRightInd/>
        <w:snapToGrid/>
        <w:spacing w:line="240" w:lineRule="exact"/>
        <w:textAlignment w:val="center"/>
        <w:outlineLvl w:val="9"/>
        <w:rPr>
          <w:rFonts w:hint="default" w:ascii="Times New Roman" w:hAnsi="Times New Roman" w:eastAsia="楷体_GB2312" w:cs="Times New Roman"/>
          <w:i w:val="0"/>
          <w:iCs w:val="0"/>
          <w:color w:val="000000"/>
          <w:kern w:val="0"/>
          <w:sz w:val="18"/>
          <w:szCs w:val="18"/>
          <w:u w:val="none"/>
          <w:lang w:val="en-US" w:eastAsia="zh-CN" w:bidi="ar"/>
        </w:rPr>
      </w:pPr>
      <w:r>
        <w:rPr>
          <w:rFonts w:hint="default" w:ascii="Times New Roman" w:hAnsi="Times New Roman" w:eastAsia="楷体_GB2312" w:cs="Times New Roman"/>
          <w:i w:val="0"/>
          <w:iCs w:val="0"/>
          <w:color w:val="000000"/>
          <w:kern w:val="0"/>
          <w:sz w:val="18"/>
          <w:szCs w:val="18"/>
          <w:u w:val="none"/>
          <w:lang w:val="en-US" w:eastAsia="zh-CN" w:bidi="ar"/>
        </w:rPr>
        <w:t>备注：1.每季度填报数据为</w:t>
      </w:r>
      <w:r>
        <w:rPr>
          <w:rFonts w:hint="default" w:ascii="Times New Roman" w:hAnsi="Times New Roman" w:eastAsia="楷体_GB2312" w:cs="Times New Roman"/>
          <w:b/>
          <w:bCs/>
          <w:i w:val="0"/>
          <w:iCs w:val="0"/>
          <w:color w:val="000000"/>
          <w:kern w:val="0"/>
          <w:sz w:val="18"/>
          <w:szCs w:val="18"/>
          <w:u w:val="none"/>
          <w:lang w:val="en-US" w:eastAsia="zh-CN" w:bidi="ar"/>
        </w:rPr>
        <w:t>累计数据</w:t>
      </w:r>
      <w:r>
        <w:rPr>
          <w:rFonts w:hint="default" w:ascii="Times New Roman" w:hAnsi="Times New Roman" w:eastAsia="楷体_GB2312" w:cs="Times New Roman"/>
          <w:i w:val="0"/>
          <w:iCs w:val="0"/>
          <w:color w:val="000000"/>
          <w:kern w:val="0"/>
          <w:sz w:val="18"/>
          <w:szCs w:val="18"/>
          <w:u w:val="none"/>
          <w:lang w:val="en-US" w:eastAsia="zh-CN" w:bidi="ar"/>
        </w:rPr>
        <w:t xml:space="preserve">。 2.表格中责令改正家次指出具责令改正通知书的数据。 </w:t>
      </w:r>
    </w:p>
    <w:p w14:paraId="1AD15F80">
      <w:pPr>
        <w:pStyle w:val="12"/>
        <w:ind w:left="0" w:leftChars="0" w:firstLine="0" w:firstLineChars="0"/>
        <w:rPr>
          <w:rFonts w:hint="default" w:ascii="宋体" w:hAnsi="宋体" w:eastAsia="宋体" w:cs="宋体"/>
          <w:sz w:val="24"/>
          <w:szCs w:val="24"/>
          <w:highlight w:val="none"/>
          <w:lang w:val="en-US" w:eastAsia="zh-CN"/>
        </w:rPr>
        <w:sectPr>
          <w:pgSz w:w="16838" w:h="11906" w:orient="landscape"/>
          <w:pgMar w:top="1440" w:right="1080" w:bottom="1440" w:left="1080" w:header="851" w:footer="1474" w:gutter="0"/>
          <w:cols w:space="720" w:num="1"/>
          <w:docGrid w:type="lines" w:linePitch="312" w:charSpace="0"/>
        </w:sectPr>
      </w:pPr>
    </w:p>
    <w:p w14:paraId="0D834E0A">
      <w:pPr>
        <w:widowControl/>
        <w:jc w:val="left"/>
        <w:rPr>
          <w:rFonts w:hint="eastAsia" w:ascii="黑体" w:hAnsi="黑体" w:eastAsia="黑体"/>
          <w:sz w:val="32"/>
          <w:szCs w:val="20"/>
          <w:lang w:eastAsia="zh-CN"/>
        </w:rPr>
      </w:pPr>
      <w:r>
        <w:rPr>
          <w:rFonts w:hint="eastAsia" w:ascii="黑体" w:hAnsi="黑体" w:eastAsia="黑体"/>
          <w:sz w:val="32"/>
          <w:szCs w:val="20"/>
        </w:rPr>
        <w:t>附件</w:t>
      </w:r>
      <w:r>
        <w:rPr>
          <w:rFonts w:hint="eastAsia" w:ascii="黑体" w:hAnsi="黑体" w:eastAsia="黑体"/>
          <w:sz w:val="32"/>
          <w:szCs w:val="20"/>
          <w:lang w:val="en-US" w:eastAsia="zh-CN"/>
        </w:rPr>
        <w:t>2</w:t>
      </w:r>
    </w:p>
    <w:p w14:paraId="12C7863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sz w:val="32"/>
          <w:szCs w:val="20"/>
        </w:rPr>
      </w:pPr>
      <w:r>
        <w:rPr>
          <w:rFonts w:hint="eastAsia" w:ascii="方正小标宋简体" w:eastAsia="方正小标宋简体"/>
          <w:sz w:val="44"/>
          <w:szCs w:val="44"/>
          <w:lang w:val="en-US" w:eastAsia="zh-CN"/>
        </w:rPr>
        <w:t>三门峡市2026年度</w:t>
      </w:r>
      <w:r>
        <w:rPr>
          <w:rFonts w:hint="eastAsia" w:ascii="方正小标宋简体" w:eastAsia="方正小标宋简体"/>
          <w:sz w:val="44"/>
          <w:szCs w:val="44"/>
        </w:rPr>
        <w:t>医疗器械经营企业信息表</w:t>
      </w:r>
    </w:p>
    <w:tbl>
      <w:tblPr>
        <w:tblStyle w:val="13"/>
        <w:tblpPr w:leftFromText="180" w:rightFromText="180" w:vertAnchor="page" w:horzAnchor="page" w:tblpX="1831" w:tblpY="2941"/>
        <w:tblW w:w="137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750"/>
        <w:gridCol w:w="783"/>
        <w:gridCol w:w="1373"/>
        <w:gridCol w:w="916"/>
        <w:gridCol w:w="1168"/>
        <w:gridCol w:w="1038"/>
        <w:gridCol w:w="1044"/>
        <w:gridCol w:w="673"/>
        <w:gridCol w:w="673"/>
        <w:gridCol w:w="1292"/>
        <w:gridCol w:w="683"/>
        <w:gridCol w:w="1033"/>
        <w:gridCol w:w="900"/>
        <w:gridCol w:w="997"/>
      </w:tblGrid>
      <w:tr w14:paraId="43B04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440" w:type="dxa"/>
            <w:noWrap w:val="0"/>
            <w:vAlign w:val="center"/>
          </w:tcPr>
          <w:p w14:paraId="44919647">
            <w:pPr>
              <w:jc w:val="center"/>
              <w:rPr>
                <w:rFonts w:ascii="黑体" w:hAnsi="黑体" w:eastAsia="黑体"/>
              </w:rPr>
            </w:pPr>
            <w:r>
              <w:rPr>
                <w:rFonts w:hint="eastAsia" w:ascii="黑体" w:hAnsi="黑体" w:eastAsia="黑体"/>
              </w:rPr>
              <w:t>序号</w:t>
            </w:r>
          </w:p>
        </w:tc>
        <w:tc>
          <w:tcPr>
            <w:tcW w:w="750" w:type="dxa"/>
            <w:noWrap w:val="0"/>
            <w:vAlign w:val="center"/>
          </w:tcPr>
          <w:p w14:paraId="45A14840">
            <w:pPr>
              <w:jc w:val="center"/>
              <w:rPr>
                <w:rFonts w:ascii="黑体" w:hAnsi="黑体" w:eastAsia="黑体" w:cs="宋体"/>
                <w:bCs/>
                <w:sz w:val="20"/>
                <w:szCs w:val="20"/>
              </w:rPr>
            </w:pPr>
            <w:r>
              <w:rPr>
                <w:rFonts w:hint="eastAsia" w:ascii="黑体" w:hAnsi="黑体" w:eastAsia="黑体"/>
                <w:bCs/>
                <w:sz w:val="20"/>
                <w:szCs w:val="20"/>
              </w:rPr>
              <w:t>许可地区</w:t>
            </w:r>
          </w:p>
        </w:tc>
        <w:tc>
          <w:tcPr>
            <w:tcW w:w="783" w:type="dxa"/>
            <w:noWrap w:val="0"/>
            <w:vAlign w:val="center"/>
          </w:tcPr>
          <w:p w14:paraId="08C4BAE2">
            <w:pPr>
              <w:jc w:val="center"/>
              <w:rPr>
                <w:rFonts w:ascii="黑体" w:hAnsi="黑体" w:eastAsia="黑体" w:cs="宋体"/>
                <w:bCs/>
                <w:sz w:val="20"/>
                <w:szCs w:val="20"/>
              </w:rPr>
            </w:pPr>
            <w:r>
              <w:rPr>
                <w:rFonts w:hint="eastAsia" w:ascii="黑体" w:hAnsi="黑体" w:eastAsia="黑体"/>
                <w:bCs/>
                <w:sz w:val="20"/>
                <w:szCs w:val="20"/>
              </w:rPr>
              <w:t>企业类别</w:t>
            </w:r>
          </w:p>
        </w:tc>
        <w:tc>
          <w:tcPr>
            <w:tcW w:w="1373" w:type="dxa"/>
            <w:noWrap w:val="0"/>
            <w:vAlign w:val="center"/>
          </w:tcPr>
          <w:p w14:paraId="0A21BC4B">
            <w:pPr>
              <w:jc w:val="center"/>
              <w:rPr>
                <w:rFonts w:ascii="黑体" w:hAnsi="黑体" w:eastAsia="黑体"/>
                <w:bCs/>
                <w:sz w:val="20"/>
                <w:szCs w:val="20"/>
              </w:rPr>
            </w:pPr>
            <w:r>
              <w:rPr>
                <w:rFonts w:hint="eastAsia" w:ascii="黑体" w:hAnsi="黑体" w:eastAsia="黑体"/>
                <w:bCs/>
                <w:sz w:val="20"/>
                <w:szCs w:val="20"/>
              </w:rPr>
              <w:t>企业</w:t>
            </w:r>
          </w:p>
          <w:p w14:paraId="7BD4F0B7">
            <w:pPr>
              <w:jc w:val="center"/>
              <w:rPr>
                <w:rFonts w:ascii="黑体" w:hAnsi="黑体" w:eastAsia="黑体" w:cs="宋体"/>
                <w:bCs/>
                <w:sz w:val="20"/>
                <w:szCs w:val="20"/>
              </w:rPr>
            </w:pPr>
            <w:r>
              <w:rPr>
                <w:rFonts w:hint="eastAsia" w:ascii="黑体" w:hAnsi="黑体" w:eastAsia="黑体"/>
                <w:bCs/>
                <w:sz w:val="20"/>
                <w:szCs w:val="20"/>
              </w:rPr>
              <w:t>名称</w:t>
            </w:r>
          </w:p>
        </w:tc>
        <w:tc>
          <w:tcPr>
            <w:tcW w:w="916" w:type="dxa"/>
            <w:noWrap w:val="0"/>
            <w:vAlign w:val="center"/>
          </w:tcPr>
          <w:p w14:paraId="79D5381D">
            <w:pPr>
              <w:jc w:val="center"/>
              <w:rPr>
                <w:rFonts w:ascii="黑体" w:hAnsi="黑体" w:eastAsia="黑体" w:cs="宋体"/>
                <w:bCs/>
                <w:sz w:val="20"/>
                <w:szCs w:val="20"/>
              </w:rPr>
            </w:pPr>
            <w:r>
              <w:rPr>
                <w:rFonts w:hint="eastAsia" w:ascii="黑体" w:hAnsi="黑体" w:eastAsia="黑体"/>
                <w:bCs/>
                <w:sz w:val="20"/>
                <w:szCs w:val="20"/>
              </w:rPr>
              <w:t>许可证编号</w:t>
            </w:r>
          </w:p>
        </w:tc>
        <w:tc>
          <w:tcPr>
            <w:tcW w:w="1168" w:type="dxa"/>
            <w:noWrap w:val="0"/>
            <w:vAlign w:val="center"/>
          </w:tcPr>
          <w:p w14:paraId="4E1E3C01">
            <w:pPr>
              <w:jc w:val="center"/>
              <w:rPr>
                <w:rFonts w:ascii="黑体" w:hAnsi="黑体" w:eastAsia="黑体"/>
                <w:bCs/>
                <w:sz w:val="20"/>
                <w:szCs w:val="20"/>
              </w:rPr>
            </w:pPr>
            <w:r>
              <w:rPr>
                <w:rFonts w:hint="eastAsia" w:ascii="黑体" w:hAnsi="黑体" w:eastAsia="黑体"/>
                <w:bCs/>
                <w:sz w:val="20"/>
                <w:szCs w:val="20"/>
              </w:rPr>
              <w:t>企业</w:t>
            </w:r>
          </w:p>
          <w:p w14:paraId="47F1AE92">
            <w:pPr>
              <w:jc w:val="center"/>
              <w:rPr>
                <w:rFonts w:ascii="黑体" w:hAnsi="黑体" w:eastAsia="黑体" w:cs="宋体"/>
                <w:bCs/>
                <w:sz w:val="20"/>
                <w:szCs w:val="20"/>
              </w:rPr>
            </w:pPr>
            <w:r>
              <w:rPr>
                <w:rFonts w:hint="eastAsia" w:ascii="黑体" w:hAnsi="黑体" w:eastAsia="黑体"/>
                <w:bCs/>
                <w:sz w:val="20"/>
                <w:szCs w:val="20"/>
              </w:rPr>
              <w:t>负责人</w:t>
            </w:r>
          </w:p>
        </w:tc>
        <w:tc>
          <w:tcPr>
            <w:tcW w:w="1038" w:type="dxa"/>
            <w:noWrap w:val="0"/>
            <w:vAlign w:val="center"/>
          </w:tcPr>
          <w:p w14:paraId="2FA3D8FD">
            <w:pPr>
              <w:jc w:val="center"/>
              <w:rPr>
                <w:rFonts w:ascii="黑体" w:hAnsi="黑体" w:eastAsia="黑体"/>
                <w:bCs/>
                <w:sz w:val="20"/>
                <w:szCs w:val="20"/>
              </w:rPr>
            </w:pPr>
            <w:r>
              <w:rPr>
                <w:rFonts w:hint="eastAsia" w:ascii="黑体" w:hAnsi="黑体" w:eastAsia="黑体"/>
                <w:bCs/>
                <w:sz w:val="20"/>
                <w:szCs w:val="20"/>
              </w:rPr>
              <w:t>联系方式</w:t>
            </w:r>
          </w:p>
        </w:tc>
        <w:tc>
          <w:tcPr>
            <w:tcW w:w="1044" w:type="dxa"/>
            <w:noWrap w:val="0"/>
            <w:vAlign w:val="center"/>
          </w:tcPr>
          <w:p w14:paraId="730C2B3C">
            <w:pPr>
              <w:jc w:val="center"/>
              <w:rPr>
                <w:rFonts w:ascii="黑体" w:hAnsi="黑体" w:eastAsia="黑体" w:cs="宋体"/>
                <w:bCs/>
                <w:sz w:val="20"/>
                <w:szCs w:val="20"/>
              </w:rPr>
            </w:pPr>
            <w:r>
              <w:rPr>
                <w:rFonts w:hint="eastAsia" w:ascii="黑体" w:hAnsi="黑体" w:eastAsia="黑体"/>
                <w:bCs/>
                <w:sz w:val="20"/>
                <w:szCs w:val="20"/>
              </w:rPr>
              <w:t>经营方式</w:t>
            </w:r>
          </w:p>
        </w:tc>
        <w:tc>
          <w:tcPr>
            <w:tcW w:w="673" w:type="dxa"/>
            <w:noWrap w:val="0"/>
            <w:vAlign w:val="center"/>
          </w:tcPr>
          <w:p w14:paraId="0CB2FB17">
            <w:pPr>
              <w:jc w:val="center"/>
              <w:rPr>
                <w:rFonts w:ascii="黑体" w:hAnsi="黑体" w:eastAsia="黑体" w:cs="宋体"/>
                <w:bCs/>
                <w:sz w:val="20"/>
                <w:szCs w:val="20"/>
              </w:rPr>
            </w:pPr>
            <w:r>
              <w:rPr>
                <w:rFonts w:hint="eastAsia" w:ascii="黑体" w:hAnsi="黑体" w:eastAsia="黑体"/>
                <w:bCs/>
                <w:sz w:val="20"/>
                <w:szCs w:val="20"/>
              </w:rPr>
              <w:t>住所</w:t>
            </w:r>
          </w:p>
        </w:tc>
        <w:tc>
          <w:tcPr>
            <w:tcW w:w="673" w:type="dxa"/>
            <w:noWrap w:val="0"/>
            <w:vAlign w:val="center"/>
          </w:tcPr>
          <w:p w14:paraId="01097DB0">
            <w:pPr>
              <w:jc w:val="center"/>
              <w:rPr>
                <w:rFonts w:ascii="黑体" w:hAnsi="黑体" w:eastAsia="黑体" w:cs="宋体"/>
                <w:bCs/>
                <w:sz w:val="20"/>
                <w:szCs w:val="20"/>
              </w:rPr>
            </w:pPr>
            <w:r>
              <w:rPr>
                <w:rFonts w:hint="eastAsia" w:ascii="黑体" w:hAnsi="黑体" w:eastAsia="黑体"/>
                <w:bCs/>
                <w:sz w:val="20"/>
                <w:szCs w:val="20"/>
              </w:rPr>
              <w:t>库房地址</w:t>
            </w:r>
          </w:p>
        </w:tc>
        <w:tc>
          <w:tcPr>
            <w:tcW w:w="1292" w:type="dxa"/>
            <w:noWrap w:val="0"/>
            <w:vAlign w:val="center"/>
          </w:tcPr>
          <w:p w14:paraId="28103B75">
            <w:pPr>
              <w:jc w:val="center"/>
              <w:rPr>
                <w:rFonts w:ascii="黑体" w:hAnsi="黑体" w:eastAsia="黑体" w:cs="宋体"/>
                <w:bCs/>
                <w:sz w:val="20"/>
                <w:szCs w:val="20"/>
              </w:rPr>
            </w:pPr>
            <w:r>
              <w:rPr>
                <w:rFonts w:hint="eastAsia" w:ascii="黑体" w:hAnsi="黑体" w:eastAsia="黑体"/>
                <w:bCs/>
                <w:sz w:val="20"/>
                <w:szCs w:val="20"/>
              </w:rPr>
              <w:t>经营范围</w:t>
            </w:r>
          </w:p>
        </w:tc>
        <w:tc>
          <w:tcPr>
            <w:tcW w:w="683" w:type="dxa"/>
            <w:noWrap w:val="0"/>
            <w:vAlign w:val="center"/>
          </w:tcPr>
          <w:p w14:paraId="08796CB1">
            <w:pPr>
              <w:jc w:val="center"/>
              <w:rPr>
                <w:rFonts w:ascii="黑体" w:hAnsi="黑体" w:eastAsia="黑体" w:cs="宋体"/>
                <w:bCs/>
                <w:sz w:val="20"/>
                <w:szCs w:val="20"/>
              </w:rPr>
            </w:pPr>
            <w:r>
              <w:rPr>
                <w:rFonts w:hint="eastAsia" w:ascii="黑体" w:hAnsi="黑体" w:eastAsia="黑体"/>
                <w:bCs/>
                <w:sz w:val="20"/>
                <w:szCs w:val="20"/>
              </w:rPr>
              <w:t>发证日期</w:t>
            </w:r>
          </w:p>
        </w:tc>
        <w:tc>
          <w:tcPr>
            <w:tcW w:w="1033" w:type="dxa"/>
            <w:noWrap w:val="0"/>
            <w:vAlign w:val="center"/>
          </w:tcPr>
          <w:p w14:paraId="3D2E7140">
            <w:pPr>
              <w:jc w:val="center"/>
              <w:rPr>
                <w:rFonts w:ascii="黑体" w:hAnsi="黑体" w:eastAsia="黑体" w:cs="宋体"/>
                <w:bCs/>
                <w:sz w:val="20"/>
                <w:szCs w:val="20"/>
              </w:rPr>
            </w:pPr>
            <w:r>
              <w:rPr>
                <w:rFonts w:hint="eastAsia" w:ascii="黑体" w:hAnsi="黑体" w:eastAsia="黑体"/>
                <w:bCs/>
                <w:sz w:val="20"/>
                <w:szCs w:val="20"/>
              </w:rPr>
              <w:t>有效日期</w:t>
            </w:r>
          </w:p>
        </w:tc>
        <w:tc>
          <w:tcPr>
            <w:tcW w:w="900" w:type="dxa"/>
            <w:noWrap w:val="0"/>
            <w:vAlign w:val="center"/>
          </w:tcPr>
          <w:p w14:paraId="00C91AC3">
            <w:pPr>
              <w:jc w:val="center"/>
              <w:rPr>
                <w:rFonts w:ascii="黑体" w:hAnsi="黑体" w:eastAsia="黑体" w:cs="宋体"/>
                <w:bCs/>
                <w:sz w:val="20"/>
                <w:szCs w:val="20"/>
              </w:rPr>
            </w:pPr>
            <w:r>
              <w:rPr>
                <w:rFonts w:hint="eastAsia" w:ascii="黑体" w:hAnsi="黑体" w:eastAsia="黑体"/>
                <w:bCs/>
                <w:sz w:val="20"/>
                <w:szCs w:val="20"/>
              </w:rPr>
              <w:t>网络销售备案</w:t>
            </w:r>
          </w:p>
        </w:tc>
        <w:tc>
          <w:tcPr>
            <w:tcW w:w="997" w:type="dxa"/>
            <w:noWrap w:val="0"/>
            <w:vAlign w:val="center"/>
          </w:tcPr>
          <w:p w14:paraId="6CE6D169">
            <w:pPr>
              <w:jc w:val="center"/>
              <w:rPr>
                <w:rFonts w:ascii="黑体" w:hAnsi="黑体" w:eastAsia="黑体" w:cs="宋体"/>
                <w:bCs/>
                <w:sz w:val="20"/>
                <w:szCs w:val="20"/>
              </w:rPr>
            </w:pPr>
            <w:r>
              <w:rPr>
                <w:rFonts w:hint="eastAsia" w:ascii="黑体" w:hAnsi="黑体" w:eastAsia="黑体"/>
                <w:bCs/>
                <w:sz w:val="20"/>
                <w:szCs w:val="20"/>
              </w:rPr>
              <w:t>网络销售类型</w:t>
            </w:r>
          </w:p>
        </w:tc>
      </w:tr>
      <w:tr w14:paraId="3360B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6B96EED5">
            <w:pPr>
              <w:rPr>
                <w:rFonts w:hint="eastAsia"/>
                <w:sz w:val="24"/>
                <w:szCs w:val="24"/>
              </w:rPr>
            </w:pPr>
          </w:p>
        </w:tc>
        <w:tc>
          <w:tcPr>
            <w:tcW w:w="750" w:type="dxa"/>
            <w:noWrap w:val="0"/>
            <w:vAlign w:val="top"/>
          </w:tcPr>
          <w:p w14:paraId="64B3E21D">
            <w:pPr>
              <w:rPr>
                <w:rFonts w:hint="eastAsia"/>
                <w:sz w:val="24"/>
                <w:szCs w:val="24"/>
              </w:rPr>
            </w:pPr>
          </w:p>
        </w:tc>
        <w:tc>
          <w:tcPr>
            <w:tcW w:w="783" w:type="dxa"/>
            <w:noWrap w:val="0"/>
            <w:vAlign w:val="top"/>
          </w:tcPr>
          <w:p w14:paraId="6334F516">
            <w:pPr>
              <w:rPr>
                <w:rFonts w:hint="eastAsia"/>
                <w:sz w:val="24"/>
                <w:szCs w:val="24"/>
              </w:rPr>
            </w:pPr>
          </w:p>
        </w:tc>
        <w:tc>
          <w:tcPr>
            <w:tcW w:w="1373" w:type="dxa"/>
            <w:noWrap w:val="0"/>
            <w:vAlign w:val="top"/>
          </w:tcPr>
          <w:p w14:paraId="50600860">
            <w:pPr>
              <w:rPr>
                <w:rFonts w:hint="eastAsia"/>
                <w:sz w:val="24"/>
                <w:szCs w:val="24"/>
              </w:rPr>
            </w:pPr>
          </w:p>
        </w:tc>
        <w:tc>
          <w:tcPr>
            <w:tcW w:w="916" w:type="dxa"/>
            <w:noWrap w:val="0"/>
            <w:vAlign w:val="top"/>
          </w:tcPr>
          <w:p w14:paraId="66FE70F9">
            <w:pPr>
              <w:rPr>
                <w:rFonts w:hint="eastAsia"/>
                <w:sz w:val="24"/>
                <w:szCs w:val="24"/>
              </w:rPr>
            </w:pPr>
          </w:p>
        </w:tc>
        <w:tc>
          <w:tcPr>
            <w:tcW w:w="1168" w:type="dxa"/>
            <w:noWrap w:val="0"/>
            <w:vAlign w:val="top"/>
          </w:tcPr>
          <w:p w14:paraId="288D9CC4">
            <w:pPr>
              <w:rPr>
                <w:rFonts w:hint="eastAsia"/>
                <w:sz w:val="24"/>
                <w:szCs w:val="24"/>
              </w:rPr>
            </w:pPr>
          </w:p>
        </w:tc>
        <w:tc>
          <w:tcPr>
            <w:tcW w:w="1038" w:type="dxa"/>
            <w:noWrap w:val="0"/>
            <w:vAlign w:val="top"/>
          </w:tcPr>
          <w:p w14:paraId="703CC8E5">
            <w:pPr>
              <w:rPr>
                <w:rFonts w:hint="eastAsia"/>
                <w:sz w:val="24"/>
                <w:szCs w:val="24"/>
              </w:rPr>
            </w:pPr>
          </w:p>
        </w:tc>
        <w:tc>
          <w:tcPr>
            <w:tcW w:w="1044" w:type="dxa"/>
            <w:noWrap w:val="0"/>
            <w:vAlign w:val="top"/>
          </w:tcPr>
          <w:p w14:paraId="70916D0B">
            <w:pPr>
              <w:rPr>
                <w:rFonts w:hint="eastAsia"/>
                <w:sz w:val="24"/>
                <w:szCs w:val="24"/>
              </w:rPr>
            </w:pPr>
          </w:p>
        </w:tc>
        <w:tc>
          <w:tcPr>
            <w:tcW w:w="673" w:type="dxa"/>
            <w:noWrap w:val="0"/>
            <w:vAlign w:val="top"/>
          </w:tcPr>
          <w:p w14:paraId="627E9277">
            <w:pPr>
              <w:rPr>
                <w:rFonts w:hint="eastAsia"/>
                <w:sz w:val="24"/>
                <w:szCs w:val="24"/>
              </w:rPr>
            </w:pPr>
          </w:p>
        </w:tc>
        <w:tc>
          <w:tcPr>
            <w:tcW w:w="673" w:type="dxa"/>
            <w:noWrap w:val="0"/>
            <w:vAlign w:val="top"/>
          </w:tcPr>
          <w:p w14:paraId="1ED54C9E">
            <w:pPr>
              <w:rPr>
                <w:rFonts w:hint="eastAsia"/>
                <w:sz w:val="24"/>
                <w:szCs w:val="24"/>
              </w:rPr>
            </w:pPr>
          </w:p>
        </w:tc>
        <w:tc>
          <w:tcPr>
            <w:tcW w:w="1292" w:type="dxa"/>
            <w:noWrap w:val="0"/>
            <w:vAlign w:val="top"/>
          </w:tcPr>
          <w:p w14:paraId="7F971067">
            <w:pPr>
              <w:rPr>
                <w:rFonts w:hint="eastAsia"/>
                <w:sz w:val="24"/>
                <w:szCs w:val="24"/>
              </w:rPr>
            </w:pPr>
          </w:p>
        </w:tc>
        <w:tc>
          <w:tcPr>
            <w:tcW w:w="683" w:type="dxa"/>
            <w:noWrap w:val="0"/>
            <w:vAlign w:val="top"/>
          </w:tcPr>
          <w:p w14:paraId="75965AE5">
            <w:pPr>
              <w:rPr>
                <w:rFonts w:hint="eastAsia"/>
                <w:sz w:val="24"/>
                <w:szCs w:val="24"/>
              </w:rPr>
            </w:pPr>
          </w:p>
        </w:tc>
        <w:tc>
          <w:tcPr>
            <w:tcW w:w="1033" w:type="dxa"/>
            <w:noWrap w:val="0"/>
            <w:vAlign w:val="top"/>
          </w:tcPr>
          <w:p w14:paraId="3CA47038">
            <w:pPr>
              <w:rPr>
                <w:rFonts w:hint="eastAsia"/>
                <w:sz w:val="24"/>
                <w:szCs w:val="24"/>
              </w:rPr>
            </w:pPr>
          </w:p>
        </w:tc>
        <w:tc>
          <w:tcPr>
            <w:tcW w:w="900" w:type="dxa"/>
            <w:noWrap w:val="0"/>
            <w:vAlign w:val="top"/>
          </w:tcPr>
          <w:p w14:paraId="6B3A5EC7">
            <w:pPr>
              <w:rPr>
                <w:rFonts w:hint="eastAsia"/>
                <w:sz w:val="24"/>
                <w:szCs w:val="24"/>
              </w:rPr>
            </w:pPr>
          </w:p>
        </w:tc>
        <w:tc>
          <w:tcPr>
            <w:tcW w:w="997" w:type="dxa"/>
            <w:noWrap w:val="0"/>
            <w:vAlign w:val="top"/>
          </w:tcPr>
          <w:p w14:paraId="5343505E">
            <w:pPr>
              <w:rPr>
                <w:rFonts w:hint="eastAsia"/>
                <w:sz w:val="24"/>
                <w:szCs w:val="24"/>
              </w:rPr>
            </w:pPr>
          </w:p>
        </w:tc>
      </w:tr>
      <w:tr w14:paraId="2C9D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54E525E4">
            <w:pPr>
              <w:rPr>
                <w:rFonts w:hint="eastAsia"/>
                <w:sz w:val="24"/>
                <w:szCs w:val="24"/>
              </w:rPr>
            </w:pPr>
          </w:p>
        </w:tc>
        <w:tc>
          <w:tcPr>
            <w:tcW w:w="750" w:type="dxa"/>
            <w:noWrap w:val="0"/>
            <w:vAlign w:val="top"/>
          </w:tcPr>
          <w:p w14:paraId="05122969">
            <w:pPr>
              <w:rPr>
                <w:rFonts w:hint="eastAsia"/>
                <w:sz w:val="24"/>
                <w:szCs w:val="24"/>
              </w:rPr>
            </w:pPr>
          </w:p>
        </w:tc>
        <w:tc>
          <w:tcPr>
            <w:tcW w:w="783" w:type="dxa"/>
            <w:noWrap w:val="0"/>
            <w:vAlign w:val="top"/>
          </w:tcPr>
          <w:p w14:paraId="2C9DE5EB">
            <w:pPr>
              <w:rPr>
                <w:rFonts w:hint="eastAsia"/>
                <w:sz w:val="24"/>
                <w:szCs w:val="24"/>
              </w:rPr>
            </w:pPr>
          </w:p>
        </w:tc>
        <w:tc>
          <w:tcPr>
            <w:tcW w:w="1373" w:type="dxa"/>
            <w:noWrap w:val="0"/>
            <w:vAlign w:val="top"/>
          </w:tcPr>
          <w:p w14:paraId="782DB063">
            <w:pPr>
              <w:rPr>
                <w:rFonts w:hint="eastAsia"/>
                <w:sz w:val="24"/>
                <w:szCs w:val="24"/>
              </w:rPr>
            </w:pPr>
          </w:p>
        </w:tc>
        <w:tc>
          <w:tcPr>
            <w:tcW w:w="916" w:type="dxa"/>
            <w:noWrap w:val="0"/>
            <w:vAlign w:val="top"/>
          </w:tcPr>
          <w:p w14:paraId="30A57C5E">
            <w:pPr>
              <w:rPr>
                <w:rFonts w:hint="eastAsia"/>
                <w:sz w:val="24"/>
                <w:szCs w:val="24"/>
              </w:rPr>
            </w:pPr>
          </w:p>
        </w:tc>
        <w:tc>
          <w:tcPr>
            <w:tcW w:w="1168" w:type="dxa"/>
            <w:noWrap w:val="0"/>
            <w:vAlign w:val="top"/>
          </w:tcPr>
          <w:p w14:paraId="40AF2B5D">
            <w:pPr>
              <w:rPr>
                <w:rFonts w:hint="eastAsia"/>
                <w:sz w:val="24"/>
                <w:szCs w:val="24"/>
              </w:rPr>
            </w:pPr>
          </w:p>
        </w:tc>
        <w:tc>
          <w:tcPr>
            <w:tcW w:w="1038" w:type="dxa"/>
            <w:noWrap w:val="0"/>
            <w:vAlign w:val="top"/>
          </w:tcPr>
          <w:p w14:paraId="1A91F7FC">
            <w:pPr>
              <w:rPr>
                <w:rFonts w:hint="eastAsia"/>
                <w:sz w:val="24"/>
                <w:szCs w:val="24"/>
              </w:rPr>
            </w:pPr>
          </w:p>
        </w:tc>
        <w:tc>
          <w:tcPr>
            <w:tcW w:w="1044" w:type="dxa"/>
            <w:noWrap w:val="0"/>
            <w:vAlign w:val="top"/>
          </w:tcPr>
          <w:p w14:paraId="77ED8850">
            <w:pPr>
              <w:rPr>
                <w:rFonts w:hint="eastAsia"/>
                <w:sz w:val="24"/>
                <w:szCs w:val="24"/>
              </w:rPr>
            </w:pPr>
          </w:p>
        </w:tc>
        <w:tc>
          <w:tcPr>
            <w:tcW w:w="673" w:type="dxa"/>
            <w:noWrap w:val="0"/>
            <w:vAlign w:val="top"/>
          </w:tcPr>
          <w:p w14:paraId="046ADB7B">
            <w:pPr>
              <w:rPr>
                <w:rFonts w:hint="eastAsia"/>
                <w:sz w:val="24"/>
                <w:szCs w:val="24"/>
              </w:rPr>
            </w:pPr>
          </w:p>
        </w:tc>
        <w:tc>
          <w:tcPr>
            <w:tcW w:w="673" w:type="dxa"/>
            <w:noWrap w:val="0"/>
            <w:vAlign w:val="top"/>
          </w:tcPr>
          <w:p w14:paraId="12073FE8">
            <w:pPr>
              <w:rPr>
                <w:rFonts w:hint="eastAsia"/>
                <w:sz w:val="24"/>
                <w:szCs w:val="24"/>
              </w:rPr>
            </w:pPr>
          </w:p>
        </w:tc>
        <w:tc>
          <w:tcPr>
            <w:tcW w:w="1292" w:type="dxa"/>
            <w:noWrap w:val="0"/>
            <w:vAlign w:val="top"/>
          </w:tcPr>
          <w:p w14:paraId="536E42F5">
            <w:pPr>
              <w:rPr>
                <w:rFonts w:hint="eastAsia"/>
                <w:sz w:val="24"/>
                <w:szCs w:val="24"/>
              </w:rPr>
            </w:pPr>
          </w:p>
        </w:tc>
        <w:tc>
          <w:tcPr>
            <w:tcW w:w="683" w:type="dxa"/>
            <w:noWrap w:val="0"/>
            <w:vAlign w:val="top"/>
          </w:tcPr>
          <w:p w14:paraId="63097AF1">
            <w:pPr>
              <w:rPr>
                <w:rFonts w:hint="eastAsia"/>
                <w:sz w:val="24"/>
                <w:szCs w:val="24"/>
              </w:rPr>
            </w:pPr>
          </w:p>
        </w:tc>
        <w:tc>
          <w:tcPr>
            <w:tcW w:w="1033" w:type="dxa"/>
            <w:noWrap w:val="0"/>
            <w:vAlign w:val="top"/>
          </w:tcPr>
          <w:p w14:paraId="739BCBB1">
            <w:pPr>
              <w:rPr>
                <w:rFonts w:hint="eastAsia"/>
                <w:sz w:val="24"/>
                <w:szCs w:val="24"/>
              </w:rPr>
            </w:pPr>
          </w:p>
        </w:tc>
        <w:tc>
          <w:tcPr>
            <w:tcW w:w="900" w:type="dxa"/>
            <w:noWrap w:val="0"/>
            <w:vAlign w:val="top"/>
          </w:tcPr>
          <w:p w14:paraId="3E30EC50">
            <w:pPr>
              <w:rPr>
                <w:rFonts w:hint="eastAsia"/>
                <w:sz w:val="24"/>
                <w:szCs w:val="24"/>
              </w:rPr>
            </w:pPr>
          </w:p>
        </w:tc>
        <w:tc>
          <w:tcPr>
            <w:tcW w:w="997" w:type="dxa"/>
            <w:noWrap w:val="0"/>
            <w:vAlign w:val="top"/>
          </w:tcPr>
          <w:p w14:paraId="3A1BF95A">
            <w:pPr>
              <w:rPr>
                <w:rFonts w:hint="eastAsia"/>
                <w:sz w:val="24"/>
                <w:szCs w:val="24"/>
              </w:rPr>
            </w:pPr>
          </w:p>
        </w:tc>
      </w:tr>
      <w:tr w14:paraId="25DBE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6265749A">
            <w:pPr>
              <w:rPr>
                <w:rFonts w:hint="eastAsia"/>
                <w:sz w:val="24"/>
                <w:szCs w:val="24"/>
              </w:rPr>
            </w:pPr>
          </w:p>
        </w:tc>
        <w:tc>
          <w:tcPr>
            <w:tcW w:w="750" w:type="dxa"/>
            <w:noWrap w:val="0"/>
            <w:vAlign w:val="top"/>
          </w:tcPr>
          <w:p w14:paraId="4A2739A9">
            <w:pPr>
              <w:rPr>
                <w:rFonts w:hint="eastAsia"/>
                <w:sz w:val="24"/>
                <w:szCs w:val="24"/>
              </w:rPr>
            </w:pPr>
          </w:p>
        </w:tc>
        <w:tc>
          <w:tcPr>
            <w:tcW w:w="783" w:type="dxa"/>
            <w:noWrap w:val="0"/>
            <w:vAlign w:val="top"/>
          </w:tcPr>
          <w:p w14:paraId="754DF75E">
            <w:pPr>
              <w:rPr>
                <w:rFonts w:hint="eastAsia"/>
                <w:sz w:val="24"/>
                <w:szCs w:val="24"/>
              </w:rPr>
            </w:pPr>
          </w:p>
        </w:tc>
        <w:tc>
          <w:tcPr>
            <w:tcW w:w="1373" w:type="dxa"/>
            <w:noWrap w:val="0"/>
            <w:vAlign w:val="top"/>
          </w:tcPr>
          <w:p w14:paraId="1D74295D">
            <w:pPr>
              <w:rPr>
                <w:rFonts w:hint="eastAsia"/>
                <w:sz w:val="24"/>
                <w:szCs w:val="24"/>
              </w:rPr>
            </w:pPr>
          </w:p>
        </w:tc>
        <w:tc>
          <w:tcPr>
            <w:tcW w:w="916" w:type="dxa"/>
            <w:noWrap w:val="0"/>
            <w:vAlign w:val="top"/>
          </w:tcPr>
          <w:p w14:paraId="50720F58">
            <w:pPr>
              <w:rPr>
                <w:rFonts w:hint="eastAsia"/>
                <w:sz w:val="24"/>
                <w:szCs w:val="24"/>
              </w:rPr>
            </w:pPr>
          </w:p>
        </w:tc>
        <w:tc>
          <w:tcPr>
            <w:tcW w:w="1168" w:type="dxa"/>
            <w:noWrap w:val="0"/>
            <w:vAlign w:val="top"/>
          </w:tcPr>
          <w:p w14:paraId="41463B5D">
            <w:pPr>
              <w:rPr>
                <w:rFonts w:hint="eastAsia"/>
                <w:sz w:val="24"/>
                <w:szCs w:val="24"/>
              </w:rPr>
            </w:pPr>
          </w:p>
        </w:tc>
        <w:tc>
          <w:tcPr>
            <w:tcW w:w="1038" w:type="dxa"/>
            <w:noWrap w:val="0"/>
            <w:vAlign w:val="top"/>
          </w:tcPr>
          <w:p w14:paraId="1A87FD4B">
            <w:pPr>
              <w:rPr>
                <w:rFonts w:hint="eastAsia"/>
                <w:sz w:val="24"/>
                <w:szCs w:val="24"/>
              </w:rPr>
            </w:pPr>
          </w:p>
        </w:tc>
        <w:tc>
          <w:tcPr>
            <w:tcW w:w="1044" w:type="dxa"/>
            <w:noWrap w:val="0"/>
            <w:vAlign w:val="top"/>
          </w:tcPr>
          <w:p w14:paraId="3B02261C">
            <w:pPr>
              <w:rPr>
                <w:rFonts w:hint="eastAsia"/>
                <w:sz w:val="24"/>
                <w:szCs w:val="24"/>
              </w:rPr>
            </w:pPr>
          </w:p>
        </w:tc>
        <w:tc>
          <w:tcPr>
            <w:tcW w:w="673" w:type="dxa"/>
            <w:noWrap w:val="0"/>
            <w:vAlign w:val="top"/>
          </w:tcPr>
          <w:p w14:paraId="01F1CF90">
            <w:pPr>
              <w:rPr>
                <w:rFonts w:hint="eastAsia"/>
                <w:sz w:val="24"/>
                <w:szCs w:val="24"/>
              </w:rPr>
            </w:pPr>
          </w:p>
        </w:tc>
        <w:tc>
          <w:tcPr>
            <w:tcW w:w="673" w:type="dxa"/>
            <w:noWrap w:val="0"/>
            <w:vAlign w:val="top"/>
          </w:tcPr>
          <w:p w14:paraId="66FE4B13">
            <w:pPr>
              <w:rPr>
                <w:rFonts w:hint="eastAsia"/>
                <w:sz w:val="24"/>
                <w:szCs w:val="24"/>
              </w:rPr>
            </w:pPr>
          </w:p>
        </w:tc>
        <w:tc>
          <w:tcPr>
            <w:tcW w:w="1292" w:type="dxa"/>
            <w:noWrap w:val="0"/>
            <w:vAlign w:val="top"/>
          </w:tcPr>
          <w:p w14:paraId="5901C743">
            <w:pPr>
              <w:rPr>
                <w:rFonts w:hint="eastAsia"/>
                <w:sz w:val="24"/>
                <w:szCs w:val="24"/>
              </w:rPr>
            </w:pPr>
          </w:p>
        </w:tc>
        <w:tc>
          <w:tcPr>
            <w:tcW w:w="683" w:type="dxa"/>
            <w:noWrap w:val="0"/>
            <w:vAlign w:val="top"/>
          </w:tcPr>
          <w:p w14:paraId="55566D5F">
            <w:pPr>
              <w:rPr>
                <w:rFonts w:hint="eastAsia"/>
                <w:sz w:val="24"/>
                <w:szCs w:val="24"/>
              </w:rPr>
            </w:pPr>
          </w:p>
        </w:tc>
        <w:tc>
          <w:tcPr>
            <w:tcW w:w="1033" w:type="dxa"/>
            <w:noWrap w:val="0"/>
            <w:vAlign w:val="top"/>
          </w:tcPr>
          <w:p w14:paraId="49C4FBBB">
            <w:pPr>
              <w:rPr>
                <w:rFonts w:hint="eastAsia"/>
                <w:sz w:val="24"/>
                <w:szCs w:val="24"/>
              </w:rPr>
            </w:pPr>
          </w:p>
        </w:tc>
        <w:tc>
          <w:tcPr>
            <w:tcW w:w="900" w:type="dxa"/>
            <w:noWrap w:val="0"/>
            <w:vAlign w:val="top"/>
          </w:tcPr>
          <w:p w14:paraId="7E91AF56">
            <w:pPr>
              <w:rPr>
                <w:rFonts w:hint="eastAsia"/>
                <w:sz w:val="24"/>
                <w:szCs w:val="24"/>
              </w:rPr>
            </w:pPr>
          </w:p>
        </w:tc>
        <w:tc>
          <w:tcPr>
            <w:tcW w:w="997" w:type="dxa"/>
            <w:noWrap w:val="0"/>
            <w:vAlign w:val="top"/>
          </w:tcPr>
          <w:p w14:paraId="0D368827">
            <w:pPr>
              <w:rPr>
                <w:rFonts w:hint="eastAsia"/>
                <w:sz w:val="24"/>
                <w:szCs w:val="24"/>
              </w:rPr>
            </w:pPr>
          </w:p>
        </w:tc>
      </w:tr>
      <w:tr w14:paraId="155D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6C087C86">
            <w:pPr>
              <w:rPr>
                <w:rFonts w:hint="eastAsia"/>
                <w:sz w:val="24"/>
                <w:szCs w:val="24"/>
              </w:rPr>
            </w:pPr>
          </w:p>
        </w:tc>
        <w:tc>
          <w:tcPr>
            <w:tcW w:w="750" w:type="dxa"/>
            <w:noWrap w:val="0"/>
            <w:vAlign w:val="top"/>
          </w:tcPr>
          <w:p w14:paraId="0C9E093C">
            <w:pPr>
              <w:rPr>
                <w:rFonts w:hint="eastAsia"/>
                <w:sz w:val="24"/>
                <w:szCs w:val="24"/>
              </w:rPr>
            </w:pPr>
          </w:p>
        </w:tc>
        <w:tc>
          <w:tcPr>
            <w:tcW w:w="783" w:type="dxa"/>
            <w:noWrap w:val="0"/>
            <w:vAlign w:val="top"/>
          </w:tcPr>
          <w:p w14:paraId="109A33A2">
            <w:pPr>
              <w:rPr>
                <w:rFonts w:hint="eastAsia"/>
                <w:sz w:val="24"/>
                <w:szCs w:val="24"/>
              </w:rPr>
            </w:pPr>
          </w:p>
        </w:tc>
        <w:tc>
          <w:tcPr>
            <w:tcW w:w="1373" w:type="dxa"/>
            <w:noWrap w:val="0"/>
            <w:vAlign w:val="top"/>
          </w:tcPr>
          <w:p w14:paraId="0CAEFF35">
            <w:pPr>
              <w:rPr>
                <w:rFonts w:hint="eastAsia"/>
                <w:sz w:val="24"/>
                <w:szCs w:val="24"/>
              </w:rPr>
            </w:pPr>
          </w:p>
        </w:tc>
        <w:tc>
          <w:tcPr>
            <w:tcW w:w="916" w:type="dxa"/>
            <w:noWrap w:val="0"/>
            <w:vAlign w:val="top"/>
          </w:tcPr>
          <w:p w14:paraId="1C2170FF">
            <w:pPr>
              <w:rPr>
                <w:rFonts w:hint="eastAsia"/>
                <w:sz w:val="24"/>
                <w:szCs w:val="24"/>
              </w:rPr>
            </w:pPr>
          </w:p>
        </w:tc>
        <w:tc>
          <w:tcPr>
            <w:tcW w:w="1168" w:type="dxa"/>
            <w:noWrap w:val="0"/>
            <w:vAlign w:val="top"/>
          </w:tcPr>
          <w:p w14:paraId="56559862">
            <w:pPr>
              <w:rPr>
                <w:rFonts w:hint="eastAsia"/>
                <w:sz w:val="24"/>
                <w:szCs w:val="24"/>
              </w:rPr>
            </w:pPr>
          </w:p>
        </w:tc>
        <w:tc>
          <w:tcPr>
            <w:tcW w:w="1038" w:type="dxa"/>
            <w:noWrap w:val="0"/>
            <w:vAlign w:val="top"/>
          </w:tcPr>
          <w:p w14:paraId="3E0E6B67">
            <w:pPr>
              <w:rPr>
                <w:rFonts w:hint="eastAsia"/>
                <w:sz w:val="24"/>
                <w:szCs w:val="24"/>
              </w:rPr>
            </w:pPr>
          </w:p>
        </w:tc>
        <w:tc>
          <w:tcPr>
            <w:tcW w:w="1044" w:type="dxa"/>
            <w:noWrap w:val="0"/>
            <w:vAlign w:val="top"/>
          </w:tcPr>
          <w:p w14:paraId="6A5DD46F">
            <w:pPr>
              <w:rPr>
                <w:rFonts w:hint="eastAsia"/>
                <w:sz w:val="24"/>
                <w:szCs w:val="24"/>
              </w:rPr>
            </w:pPr>
          </w:p>
        </w:tc>
        <w:tc>
          <w:tcPr>
            <w:tcW w:w="673" w:type="dxa"/>
            <w:noWrap w:val="0"/>
            <w:vAlign w:val="top"/>
          </w:tcPr>
          <w:p w14:paraId="7D6CAB4C">
            <w:pPr>
              <w:rPr>
                <w:rFonts w:hint="eastAsia"/>
                <w:sz w:val="24"/>
                <w:szCs w:val="24"/>
              </w:rPr>
            </w:pPr>
          </w:p>
        </w:tc>
        <w:tc>
          <w:tcPr>
            <w:tcW w:w="673" w:type="dxa"/>
            <w:noWrap w:val="0"/>
            <w:vAlign w:val="top"/>
          </w:tcPr>
          <w:p w14:paraId="0EDBA4B3">
            <w:pPr>
              <w:rPr>
                <w:rFonts w:hint="eastAsia"/>
                <w:sz w:val="24"/>
                <w:szCs w:val="24"/>
              </w:rPr>
            </w:pPr>
          </w:p>
        </w:tc>
        <w:tc>
          <w:tcPr>
            <w:tcW w:w="1292" w:type="dxa"/>
            <w:noWrap w:val="0"/>
            <w:vAlign w:val="top"/>
          </w:tcPr>
          <w:p w14:paraId="19FB6D75">
            <w:pPr>
              <w:rPr>
                <w:rFonts w:hint="eastAsia"/>
                <w:sz w:val="24"/>
                <w:szCs w:val="24"/>
              </w:rPr>
            </w:pPr>
          </w:p>
        </w:tc>
        <w:tc>
          <w:tcPr>
            <w:tcW w:w="683" w:type="dxa"/>
            <w:noWrap w:val="0"/>
            <w:vAlign w:val="top"/>
          </w:tcPr>
          <w:p w14:paraId="2E83109C">
            <w:pPr>
              <w:rPr>
                <w:rFonts w:hint="eastAsia"/>
                <w:sz w:val="24"/>
                <w:szCs w:val="24"/>
              </w:rPr>
            </w:pPr>
          </w:p>
        </w:tc>
        <w:tc>
          <w:tcPr>
            <w:tcW w:w="1033" w:type="dxa"/>
            <w:noWrap w:val="0"/>
            <w:vAlign w:val="top"/>
          </w:tcPr>
          <w:p w14:paraId="6338F157">
            <w:pPr>
              <w:rPr>
                <w:rFonts w:hint="eastAsia"/>
                <w:sz w:val="24"/>
                <w:szCs w:val="24"/>
              </w:rPr>
            </w:pPr>
          </w:p>
        </w:tc>
        <w:tc>
          <w:tcPr>
            <w:tcW w:w="900" w:type="dxa"/>
            <w:noWrap w:val="0"/>
            <w:vAlign w:val="top"/>
          </w:tcPr>
          <w:p w14:paraId="28AEE272">
            <w:pPr>
              <w:rPr>
                <w:rFonts w:hint="eastAsia"/>
                <w:sz w:val="24"/>
                <w:szCs w:val="24"/>
              </w:rPr>
            </w:pPr>
          </w:p>
        </w:tc>
        <w:tc>
          <w:tcPr>
            <w:tcW w:w="997" w:type="dxa"/>
            <w:noWrap w:val="0"/>
            <w:vAlign w:val="top"/>
          </w:tcPr>
          <w:p w14:paraId="6DF6806F">
            <w:pPr>
              <w:rPr>
                <w:rFonts w:hint="eastAsia"/>
                <w:sz w:val="24"/>
                <w:szCs w:val="24"/>
              </w:rPr>
            </w:pPr>
          </w:p>
        </w:tc>
      </w:tr>
      <w:tr w14:paraId="14A3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4CBA68C4">
            <w:pPr>
              <w:rPr>
                <w:rFonts w:hint="eastAsia"/>
                <w:sz w:val="24"/>
                <w:szCs w:val="24"/>
              </w:rPr>
            </w:pPr>
          </w:p>
        </w:tc>
        <w:tc>
          <w:tcPr>
            <w:tcW w:w="750" w:type="dxa"/>
            <w:noWrap w:val="0"/>
            <w:vAlign w:val="top"/>
          </w:tcPr>
          <w:p w14:paraId="15FF9DDE">
            <w:pPr>
              <w:rPr>
                <w:rFonts w:hint="eastAsia"/>
                <w:sz w:val="24"/>
                <w:szCs w:val="24"/>
              </w:rPr>
            </w:pPr>
          </w:p>
        </w:tc>
        <w:tc>
          <w:tcPr>
            <w:tcW w:w="783" w:type="dxa"/>
            <w:noWrap w:val="0"/>
            <w:vAlign w:val="top"/>
          </w:tcPr>
          <w:p w14:paraId="078243FB">
            <w:pPr>
              <w:rPr>
                <w:rFonts w:hint="eastAsia"/>
                <w:sz w:val="24"/>
                <w:szCs w:val="24"/>
              </w:rPr>
            </w:pPr>
          </w:p>
        </w:tc>
        <w:tc>
          <w:tcPr>
            <w:tcW w:w="1373" w:type="dxa"/>
            <w:noWrap w:val="0"/>
            <w:vAlign w:val="top"/>
          </w:tcPr>
          <w:p w14:paraId="3F83E1FB">
            <w:pPr>
              <w:rPr>
                <w:rFonts w:hint="eastAsia"/>
                <w:sz w:val="24"/>
                <w:szCs w:val="24"/>
              </w:rPr>
            </w:pPr>
          </w:p>
        </w:tc>
        <w:tc>
          <w:tcPr>
            <w:tcW w:w="916" w:type="dxa"/>
            <w:noWrap w:val="0"/>
            <w:vAlign w:val="top"/>
          </w:tcPr>
          <w:p w14:paraId="4DA50CC8">
            <w:pPr>
              <w:rPr>
                <w:rFonts w:hint="eastAsia"/>
                <w:sz w:val="24"/>
                <w:szCs w:val="24"/>
              </w:rPr>
            </w:pPr>
          </w:p>
        </w:tc>
        <w:tc>
          <w:tcPr>
            <w:tcW w:w="1168" w:type="dxa"/>
            <w:noWrap w:val="0"/>
            <w:vAlign w:val="top"/>
          </w:tcPr>
          <w:p w14:paraId="10DD1FBC">
            <w:pPr>
              <w:rPr>
                <w:rFonts w:hint="eastAsia"/>
                <w:sz w:val="24"/>
                <w:szCs w:val="24"/>
              </w:rPr>
            </w:pPr>
          </w:p>
        </w:tc>
        <w:tc>
          <w:tcPr>
            <w:tcW w:w="1038" w:type="dxa"/>
            <w:noWrap w:val="0"/>
            <w:vAlign w:val="top"/>
          </w:tcPr>
          <w:p w14:paraId="11F46C22">
            <w:pPr>
              <w:rPr>
                <w:rFonts w:hint="eastAsia"/>
                <w:sz w:val="24"/>
                <w:szCs w:val="24"/>
              </w:rPr>
            </w:pPr>
          </w:p>
        </w:tc>
        <w:tc>
          <w:tcPr>
            <w:tcW w:w="1044" w:type="dxa"/>
            <w:noWrap w:val="0"/>
            <w:vAlign w:val="top"/>
          </w:tcPr>
          <w:p w14:paraId="7217382B">
            <w:pPr>
              <w:rPr>
                <w:rFonts w:hint="eastAsia"/>
                <w:sz w:val="24"/>
                <w:szCs w:val="24"/>
              </w:rPr>
            </w:pPr>
          </w:p>
        </w:tc>
        <w:tc>
          <w:tcPr>
            <w:tcW w:w="673" w:type="dxa"/>
            <w:noWrap w:val="0"/>
            <w:vAlign w:val="top"/>
          </w:tcPr>
          <w:p w14:paraId="4C166870">
            <w:pPr>
              <w:rPr>
                <w:rFonts w:hint="eastAsia"/>
                <w:sz w:val="24"/>
                <w:szCs w:val="24"/>
              </w:rPr>
            </w:pPr>
          </w:p>
        </w:tc>
        <w:tc>
          <w:tcPr>
            <w:tcW w:w="673" w:type="dxa"/>
            <w:noWrap w:val="0"/>
            <w:vAlign w:val="top"/>
          </w:tcPr>
          <w:p w14:paraId="59BE9FE8">
            <w:pPr>
              <w:rPr>
                <w:rFonts w:hint="eastAsia"/>
                <w:sz w:val="24"/>
                <w:szCs w:val="24"/>
              </w:rPr>
            </w:pPr>
          </w:p>
        </w:tc>
        <w:tc>
          <w:tcPr>
            <w:tcW w:w="1292" w:type="dxa"/>
            <w:noWrap w:val="0"/>
            <w:vAlign w:val="top"/>
          </w:tcPr>
          <w:p w14:paraId="3FB0EB7D">
            <w:pPr>
              <w:rPr>
                <w:rFonts w:hint="eastAsia"/>
                <w:sz w:val="24"/>
                <w:szCs w:val="24"/>
              </w:rPr>
            </w:pPr>
          </w:p>
        </w:tc>
        <w:tc>
          <w:tcPr>
            <w:tcW w:w="683" w:type="dxa"/>
            <w:noWrap w:val="0"/>
            <w:vAlign w:val="top"/>
          </w:tcPr>
          <w:p w14:paraId="664F2F8B">
            <w:pPr>
              <w:rPr>
                <w:rFonts w:hint="eastAsia"/>
                <w:sz w:val="24"/>
                <w:szCs w:val="24"/>
              </w:rPr>
            </w:pPr>
          </w:p>
        </w:tc>
        <w:tc>
          <w:tcPr>
            <w:tcW w:w="1033" w:type="dxa"/>
            <w:noWrap w:val="0"/>
            <w:vAlign w:val="top"/>
          </w:tcPr>
          <w:p w14:paraId="68629CF7">
            <w:pPr>
              <w:rPr>
                <w:rFonts w:hint="eastAsia"/>
                <w:sz w:val="24"/>
                <w:szCs w:val="24"/>
              </w:rPr>
            </w:pPr>
          </w:p>
        </w:tc>
        <w:tc>
          <w:tcPr>
            <w:tcW w:w="900" w:type="dxa"/>
            <w:noWrap w:val="0"/>
            <w:vAlign w:val="top"/>
          </w:tcPr>
          <w:p w14:paraId="25C2FA83">
            <w:pPr>
              <w:rPr>
                <w:rFonts w:hint="eastAsia"/>
                <w:sz w:val="24"/>
                <w:szCs w:val="24"/>
              </w:rPr>
            </w:pPr>
          </w:p>
        </w:tc>
        <w:tc>
          <w:tcPr>
            <w:tcW w:w="997" w:type="dxa"/>
            <w:noWrap w:val="0"/>
            <w:vAlign w:val="top"/>
          </w:tcPr>
          <w:p w14:paraId="7203BD02">
            <w:pPr>
              <w:rPr>
                <w:rFonts w:hint="eastAsia"/>
                <w:sz w:val="24"/>
                <w:szCs w:val="24"/>
              </w:rPr>
            </w:pPr>
          </w:p>
        </w:tc>
      </w:tr>
      <w:tr w14:paraId="2452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69D468A5">
            <w:pPr>
              <w:rPr>
                <w:rFonts w:hint="eastAsia"/>
                <w:sz w:val="24"/>
                <w:szCs w:val="24"/>
              </w:rPr>
            </w:pPr>
          </w:p>
        </w:tc>
        <w:tc>
          <w:tcPr>
            <w:tcW w:w="750" w:type="dxa"/>
            <w:noWrap w:val="0"/>
            <w:vAlign w:val="top"/>
          </w:tcPr>
          <w:p w14:paraId="4ECF333E">
            <w:pPr>
              <w:rPr>
                <w:rFonts w:hint="eastAsia"/>
                <w:sz w:val="24"/>
                <w:szCs w:val="24"/>
              </w:rPr>
            </w:pPr>
          </w:p>
        </w:tc>
        <w:tc>
          <w:tcPr>
            <w:tcW w:w="783" w:type="dxa"/>
            <w:noWrap w:val="0"/>
            <w:vAlign w:val="top"/>
          </w:tcPr>
          <w:p w14:paraId="546712E2">
            <w:pPr>
              <w:rPr>
                <w:rFonts w:hint="eastAsia"/>
                <w:sz w:val="24"/>
                <w:szCs w:val="24"/>
              </w:rPr>
            </w:pPr>
          </w:p>
        </w:tc>
        <w:tc>
          <w:tcPr>
            <w:tcW w:w="1373" w:type="dxa"/>
            <w:noWrap w:val="0"/>
            <w:vAlign w:val="top"/>
          </w:tcPr>
          <w:p w14:paraId="3C049AF7">
            <w:pPr>
              <w:rPr>
                <w:rFonts w:hint="eastAsia"/>
                <w:sz w:val="24"/>
                <w:szCs w:val="24"/>
              </w:rPr>
            </w:pPr>
          </w:p>
        </w:tc>
        <w:tc>
          <w:tcPr>
            <w:tcW w:w="916" w:type="dxa"/>
            <w:noWrap w:val="0"/>
            <w:vAlign w:val="top"/>
          </w:tcPr>
          <w:p w14:paraId="30A8A9A3">
            <w:pPr>
              <w:rPr>
                <w:rFonts w:hint="eastAsia"/>
                <w:sz w:val="24"/>
                <w:szCs w:val="24"/>
              </w:rPr>
            </w:pPr>
          </w:p>
        </w:tc>
        <w:tc>
          <w:tcPr>
            <w:tcW w:w="1168" w:type="dxa"/>
            <w:noWrap w:val="0"/>
            <w:vAlign w:val="top"/>
          </w:tcPr>
          <w:p w14:paraId="15C9E7D1">
            <w:pPr>
              <w:rPr>
                <w:rFonts w:hint="eastAsia"/>
                <w:sz w:val="24"/>
                <w:szCs w:val="24"/>
              </w:rPr>
            </w:pPr>
          </w:p>
        </w:tc>
        <w:tc>
          <w:tcPr>
            <w:tcW w:w="1038" w:type="dxa"/>
            <w:noWrap w:val="0"/>
            <w:vAlign w:val="top"/>
          </w:tcPr>
          <w:p w14:paraId="1CEB1BF4">
            <w:pPr>
              <w:rPr>
                <w:rFonts w:hint="eastAsia"/>
                <w:sz w:val="24"/>
                <w:szCs w:val="24"/>
              </w:rPr>
            </w:pPr>
          </w:p>
        </w:tc>
        <w:tc>
          <w:tcPr>
            <w:tcW w:w="1044" w:type="dxa"/>
            <w:noWrap w:val="0"/>
            <w:vAlign w:val="top"/>
          </w:tcPr>
          <w:p w14:paraId="7C27F7B6">
            <w:pPr>
              <w:rPr>
                <w:rFonts w:hint="eastAsia"/>
                <w:sz w:val="24"/>
                <w:szCs w:val="24"/>
              </w:rPr>
            </w:pPr>
          </w:p>
        </w:tc>
        <w:tc>
          <w:tcPr>
            <w:tcW w:w="673" w:type="dxa"/>
            <w:noWrap w:val="0"/>
            <w:vAlign w:val="top"/>
          </w:tcPr>
          <w:p w14:paraId="36577B85">
            <w:pPr>
              <w:rPr>
                <w:rFonts w:hint="eastAsia"/>
                <w:sz w:val="24"/>
                <w:szCs w:val="24"/>
              </w:rPr>
            </w:pPr>
          </w:p>
        </w:tc>
        <w:tc>
          <w:tcPr>
            <w:tcW w:w="673" w:type="dxa"/>
            <w:noWrap w:val="0"/>
            <w:vAlign w:val="top"/>
          </w:tcPr>
          <w:p w14:paraId="11E0076B">
            <w:pPr>
              <w:rPr>
                <w:rFonts w:hint="eastAsia"/>
                <w:sz w:val="24"/>
                <w:szCs w:val="24"/>
              </w:rPr>
            </w:pPr>
          </w:p>
        </w:tc>
        <w:tc>
          <w:tcPr>
            <w:tcW w:w="1292" w:type="dxa"/>
            <w:noWrap w:val="0"/>
            <w:vAlign w:val="top"/>
          </w:tcPr>
          <w:p w14:paraId="400C843D">
            <w:pPr>
              <w:rPr>
                <w:rFonts w:hint="eastAsia"/>
                <w:sz w:val="24"/>
                <w:szCs w:val="24"/>
              </w:rPr>
            </w:pPr>
          </w:p>
        </w:tc>
        <w:tc>
          <w:tcPr>
            <w:tcW w:w="683" w:type="dxa"/>
            <w:noWrap w:val="0"/>
            <w:vAlign w:val="top"/>
          </w:tcPr>
          <w:p w14:paraId="24BA760B">
            <w:pPr>
              <w:rPr>
                <w:rFonts w:hint="eastAsia"/>
                <w:sz w:val="24"/>
                <w:szCs w:val="24"/>
              </w:rPr>
            </w:pPr>
          </w:p>
        </w:tc>
        <w:tc>
          <w:tcPr>
            <w:tcW w:w="1033" w:type="dxa"/>
            <w:noWrap w:val="0"/>
            <w:vAlign w:val="top"/>
          </w:tcPr>
          <w:p w14:paraId="5567A329">
            <w:pPr>
              <w:rPr>
                <w:rFonts w:hint="eastAsia"/>
                <w:sz w:val="24"/>
                <w:szCs w:val="24"/>
              </w:rPr>
            </w:pPr>
          </w:p>
        </w:tc>
        <w:tc>
          <w:tcPr>
            <w:tcW w:w="900" w:type="dxa"/>
            <w:noWrap w:val="0"/>
            <w:vAlign w:val="top"/>
          </w:tcPr>
          <w:p w14:paraId="265BCE4F">
            <w:pPr>
              <w:rPr>
                <w:rFonts w:hint="eastAsia"/>
                <w:sz w:val="24"/>
                <w:szCs w:val="24"/>
              </w:rPr>
            </w:pPr>
          </w:p>
        </w:tc>
        <w:tc>
          <w:tcPr>
            <w:tcW w:w="997" w:type="dxa"/>
            <w:noWrap w:val="0"/>
            <w:vAlign w:val="top"/>
          </w:tcPr>
          <w:p w14:paraId="1CF826EF">
            <w:pPr>
              <w:rPr>
                <w:rFonts w:hint="eastAsia"/>
                <w:sz w:val="24"/>
                <w:szCs w:val="24"/>
              </w:rPr>
            </w:pPr>
          </w:p>
        </w:tc>
      </w:tr>
      <w:tr w14:paraId="40C0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4A17E29E">
            <w:pPr>
              <w:rPr>
                <w:rFonts w:hint="eastAsia"/>
                <w:sz w:val="24"/>
                <w:szCs w:val="24"/>
              </w:rPr>
            </w:pPr>
          </w:p>
        </w:tc>
        <w:tc>
          <w:tcPr>
            <w:tcW w:w="750" w:type="dxa"/>
            <w:noWrap w:val="0"/>
            <w:vAlign w:val="top"/>
          </w:tcPr>
          <w:p w14:paraId="76FD498C">
            <w:pPr>
              <w:rPr>
                <w:rFonts w:hint="eastAsia"/>
                <w:sz w:val="24"/>
                <w:szCs w:val="24"/>
              </w:rPr>
            </w:pPr>
          </w:p>
        </w:tc>
        <w:tc>
          <w:tcPr>
            <w:tcW w:w="783" w:type="dxa"/>
            <w:noWrap w:val="0"/>
            <w:vAlign w:val="top"/>
          </w:tcPr>
          <w:p w14:paraId="1729AAB9">
            <w:pPr>
              <w:rPr>
                <w:rFonts w:hint="eastAsia"/>
                <w:sz w:val="24"/>
                <w:szCs w:val="24"/>
              </w:rPr>
            </w:pPr>
          </w:p>
        </w:tc>
        <w:tc>
          <w:tcPr>
            <w:tcW w:w="1373" w:type="dxa"/>
            <w:noWrap w:val="0"/>
            <w:vAlign w:val="top"/>
          </w:tcPr>
          <w:p w14:paraId="00EAD8F3">
            <w:pPr>
              <w:rPr>
                <w:rFonts w:hint="eastAsia"/>
                <w:sz w:val="24"/>
                <w:szCs w:val="24"/>
              </w:rPr>
            </w:pPr>
          </w:p>
        </w:tc>
        <w:tc>
          <w:tcPr>
            <w:tcW w:w="916" w:type="dxa"/>
            <w:noWrap w:val="0"/>
            <w:vAlign w:val="top"/>
          </w:tcPr>
          <w:p w14:paraId="50D5DB39">
            <w:pPr>
              <w:rPr>
                <w:rFonts w:hint="eastAsia"/>
                <w:sz w:val="24"/>
                <w:szCs w:val="24"/>
              </w:rPr>
            </w:pPr>
          </w:p>
        </w:tc>
        <w:tc>
          <w:tcPr>
            <w:tcW w:w="1168" w:type="dxa"/>
            <w:noWrap w:val="0"/>
            <w:vAlign w:val="top"/>
          </w:tcPr>
          <w:p w14:paraId="7BA75B7D">
            <w:pPr>
              <w:rPr>
                <w:rFonts w:hint="eastAsia"/>
                <w:sz w:val="24"/>
                <w:szCs w:val="24"/>
              </w:rPr>
            </w:pPr>
          </w:p>
        </w:tc>
        <w:tc>
          <w:tcPr>
            <w:tcW w:w="1038" w:type="dxa"/>
            <w:noWrap w:val="0"/>
            <w:vAlign w:val="top"/>
          </w:tcPr>
          <w:p w14:paraId="53AFD633">
            <w:pPr>
              <w:rPr>
                <w:rFonts w:hint="eastAsia"/>
                <w:sz w:val="24"/>
                <w:szCs w:val="24"/>
              </w:rPr>
            </w:pPr>
          </w:p>
        </w:tc>
        <w:tc>
          <w:tcPr>
            <w:tcW w:w="1044" w:type="dxa"/>
            <w:noWrap w:val="0"/>
            <w:vAlign w:val="top"/>
          </w:tcPr>
          <w:p w14:paraId="2E43259C">
            <w:pPr>
              <w:rPr>
                <w:rFonts w:hint="eastAsia"/>
                <w:sz w:val="24"/>
                <w:szCs w:val="24"/>
              </w:rPr>
            </w:pPr>
          </w:p>
        </w:tc>
        <w:tc>
          <w:tcPr>
            <w:tcW w:w="673" w:type="dxa"/>
            <w:noWrap w:val="0"/>
            <w:vAlign w:val="top"/>
          </w:tcPr>
          <w:p w14:paraId="7ADFFF37">
            <w:pPr>
              <w:rPr>
                <w:rFonts w:hint="eastAsia"/>
                <w:sz w:val="24"/>
                <w:szCs w:val="24"/>
              </w:rPr>
            </w:pPr>
          </w:p>
        </w:tc>
        <w:tc>
          <w:tcPr>
            <w:tcW w:w="673" w:type="dxa"/>
            <w:noWrap w:val="0"/>
            <w:vAlign w:val="top"/>
          </w:tcPr>
          <w:p w14:paraId="318E8A62">
            <w:pPr>
              <w:rPr>
                <w:rFonts w:hint="eastAsia"/>
                <w:sz w:val="24"/>
                <w:szCs w:val="24"/>
              </w:rPr>
            </w:pPr>
          </w:p>
        </w:tc>
        <w:tc>
          <w:tcPr>
            <w:tcW w:w="1292" w:type="dxa"/>
            <w:noWrap w:val="0"/>
            <w:vAlign w:val="top"/>
          </w:tcPr>
          <w:p w14:paraId="5A45558E">
            <w:pPr>
              <w:rPr>
                <w:rFonts w:hint="eastAsia"/>
                <w:sz w:val="24"/>
                <w:szCs w:val="24"/>
              </w:rPr>
            </w:pPr>
          </w:p>
        </w:tc>
        <w:tc>
          <w:tcPr>
            <w:tcW w:w="683" w:type="dxa"/>
            <w:noWrap w:val="0"/>
            <w:vAlign w:val="top"/>
          </w:tcPr>
          <w:p w14:paraId="387C5B1F">
            <w:pPr>
              <w:rPr>
                <w:rFonts w:hint="eastAsia"/>
                <w:sz w:val="24"/>
                <w:szCs w:val="24"/>
              </w:rPr>
            </w:pPr>
          </w:p>
        </w:tc>
        <w:tc>
          <w:tcPr>
            <w:tcW w:w="1033" w:type="dxa"/>
            <w:noWrap w:val="0"/>
            <w:vAlign w:val="top"/>
          </w:tcPr>
          <w:p w14:paraId="3397E4E7">
            <w:pPr>
              <w:rPr>
                <w:rFonts w:hint="eastAsia"/>
                <w:sz w:val="24"/>
                <w:szCs w:val="24"/>
              </w:rPr>
            </w:pPr>
          </w:p>
        </w:tc>
        <w:tc>
          <w:tcPr>
            <w:tcW w:w="900" w:type="dxa"/>
            <w:noWrap w:val="0"/>
            <w:vAlign w:val="top"/>
          </w:tcPr>
          <w:p w14:paraId="0666FE97">
            <w:pPr>
              <w:rPr>
                <w:rFonts w:hint="eastAsia"/>
                <w:sz w:val="24"/>
                <w:szCs w:val="24"/>
              </w:rPr>
            </w:pPr>
          </w:p>
        </w:tc>
        <w:tc>
          <w:tcPr>
            <w:tcW w:w="997" w:type="dxa"/>
            <w:noWrap w:val="0"/>
            <w:vAlign w:val="top"/>
          </w:tcPr>
          <w:p w14:paraId="4D6D6F4C">
            <w:pPr>
              <w:rPr>
                <w:rFonts w:hint="eastAsia"/>
                <w:sz w:val="24"/>
                <w:szCs w:val="24"/>
              </w:rPr>
            </w:pPr>
          </w:p>
        </w:tc>
      </w:tr>
      <w:tr w14:paraId="2F15B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4D450172">
            <w:pPr>
              <w:rPr>
                <w:rFonts w:hint="eastAsia"/>
                <w:sz w:val="24"/>
                <w:szCs w:val="24"/>
              </w:rPr>
            </w:pPr>
          </w:p>
        </w:tc>
        <w:tc>
          <w:tcPr>
            <w:tcW w:w="750" w:type="dxa"/>
            <w:noWrap w:val="0"/>
            <w:vAlign w:val="top"/>
          </w:tcPr>
          <w:p w14:paraId="2D6E5819">
            <w:pPr>
              <w:rPr>
                <w:rFonts w:hint="eastAsia"/>
                <w:sz w:val="24"/>
                <w:szCs w:val="24"/>
              </w:rPr>
            </w:pPr>
          </w:p>
        </w:tc>
        <w:tc>
          <w:tcPr>
            <w:tcW w:w="783" w:type="dxa"/>
            <w:noWrap w:val="0"/>
            <w:vAlign w:val="top"/>
          </w:tcPr>
          <w:p w14:paraId="360E0CB1">
            <w:pPr>
              <w:rPr>
                <w:rFonts w:hint="eastAsia"/>
                <w:sz w:val="24"/>
                <w:szCs w:val="24"/>
              </w:rPr>
            </w:pPr>
          </w:p>
        </w:tc>
        <w:tc>
          <w:tcPr>
            <w:tcW w:w="1373" w:type="dxa"/>
            <w:noWrap w:val="0"/>
            <w:vAlign w:val="top"/>
          </w:tcPr>
          <w:p w14:paraId="6F325CA7">
            <w:pPr>
              <w:rPr>
                <w:rFonts w:hint="eastAsia"/>
                <w:sz w:val="24"/>
                <w:szCs w:val="24"/>
              </w:rPr>
            </w:pPr>
          </w:p>
        </w:tc>
        <w:tc>
          <w:tcPr>
            <w:tcW w:w="916" w:type="dxa"/>
            <w:noWrap w:val="0"/>
            <w:vAlign w:val="top"/>
          </w:tcPr>
          <w:p w14:paraId="1B2558EC">
            <w:pPr>
              <w:rPr>
                <w:rFonts w:hint="eastAsia"/>
                <w:sz w:val="24"/>
                <w:szCs w:val="24"/>
              </w:rPr>
            </w:pPr>
          </w:p>
        </w:tc>
        <w:tc>
          <w:tcPr>
            <w:tcW w:w="1168" w:type="dxa"/>
            <w:noWrap w:val="0"/>
            <w:vAlign w:val="top"/>
          </w:tcPr>
          <w:p w14:paraId="6013350C">
            <w:pPr>
              <w:rPr>
                <w:rFonts w:hint="eastAsia"/>
                <w:sz w:val="24"/>
                <w:szCs w:val="24"/>
              </w:rPr>
            </w:pPr>
          </w:p>
        </w:tc>
        <w:tc>
          <w:tcPr>
            <w:tcW w:w="1038" w:type="dxa"/>
            <w:noWrap w:val="0"/>
            <w:vAlign w:val="top"/>
          </w:tcPr>
          <w:p w14:paraId="56F1CA75">
            <w:pPr>
              <w:rPr>
                <w:rFonts w:hint="eastAsia"/>
                <w:sz w:val="24"/>
                <w:szCs w:val="24"/>
              </w:rPr>
            </w:pPr>
          </w:p>
        </w:tc>
        <w:tc>
          <w:tcPr>
            <w:tcW w:w="1044" w:type="dxa"/>
            <w:noWrap w:val="0"/>
            <w:vAlign w:val="top"/>
          </w:tcPr>
          <w:p w14:paraId="5BA1F643">
            <w:pPr>
              <w:rPr>
                <w:rFonts w:hint="eastAsia"/>
                <w:sz w:val="24"/>
                <w:szCs w:val="24"/>
              </w:rPr>
            </w:pPr>
          </w:p>
        </w:tc>
        <w:tc>
          <w:tcPr>
            <w:tcW w:w="673" w:type="dxa"/>
            <w:noWrap w:val="0"/>
            <w:vAlign w:val="top"/>
          </w:tcPr>
          <w:p w14:paraId="7DECB316">
            <w:pPr>
              <w:rPr>
                <w:rFonts w:hint="eastAsia"/>
                <w:sz w:val="24"/>
                <w:szCs w:val="24"/>
              </w:rPr>
            </w:pPr>
          </w:p>
        </w:tc>
        <w:tc>
          <w:tcPr>
            <w:tcW w:w="673" w:type="dxa"/>
            <w:noWrap w:val="0"/>
            <w:vAlign w:val="top"/>
          </w:tcPr>
          <w:p w14:paraId="00440296">
            <w:pPr>
              <w:rPr>
                <w:rFonts w:hint="eastAsia"/>
                <w:sz w:val="24"/>
                <w:szCs w:val="24"/>
              </w:rPr>
            </w:pPr>
          </w:p>
        </w:tc>
        <w:tc>
          <w:tcPr>
            <w:tcW w:w="1292" w:type="dxa"/>
            <w:noWrap w:val="0"/>
            <w:vAlign w:val="top"/>
          </w:tcPr>
          <w:p w14:paraId="16E6571E">
            <w:pPr>
              <w:rPr>
                <w:rFonts w:hint="eastAsia"/>
                <w:sz w:val="24"/>
                <w:szCs w:val="24"/>
              </w:rPr>
            </w:pPr>
          </w:p>
        </w:tc>
        <w:tc>
          <w:tcPr>
            <w:tcW w:w="683" w:type="dxa"/>
            <w:noWrap w:val="0"/>
            <w:vAlign w:val="top"/>
          </w:tcPr>
          <w:p w14:paraId="11685CF9">
            <w:pPr>
              <w:rPr>
                <w:rFonts w:hint="eastAsia"/>
                <w:sz w:val="24"/>
                <w:szCs w:val="24"/>
              </w:rPr>
            </w:pPr>
          </w:p>
        </w:tc>
        <w:tc>
          <w:tcPr>
            <w:tcW w:w="1033" w:type="dxa"/>
            <w:noWrap w:val="0"/>
            <w:vAlign w:val="top"/>
          </w:tcPr>
          <w:p w14:paraId="6B099612">
            <w:pPr>
              <w:rPr>
                <w:rFonts w:hint="eastAsia"/>
                <w:sz w:val="24"/>
                <w:szCs w:val="24"/>
              </w:rPr>
            </w:pPr>
          </w:p>
        </w:tc>
        <w:tc>
          <w:tcPr>
            <w:tcW w:w="900" w:type="dxa"/>
            <w:noWrap w:val="0"/>
            <w:vAlign w:val="top"/>
          </w:tcPr>
          <w:p w14:paraId="2066D688">
            <w:pPr>
              <w:rPr>
                <w:rFonts w:hint="eastAsia"/>
                <w:sz w:val="24"/>
                <w:szCs w:val="24"/>
              </w:rPr>
            </w:pPr>
          </w:p>
        </w:tc>
        <w:tc>
          <w:tcPr>
            <w:tcW w:w="997" w:type="dxa"/>
            <w:noWrap w:val="0"/>
            <w:vAlign w:val="top"/>
          </w:tcPr>
          <w:p w14:paraId="3FCD7F8C">
            <w:pPr>
              <w:rPr>
                <w:rFonts w:hint="eastAsia"/>
                <w:sz w:val="24"/>
                <w:szCs w:val="24"/>
              </w:rPr>
            </w:pPr>
          </w:p>
        </w:tc>
      </w:tr>
      <w:tr w14:paraId="72EE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noWrap w:val="0"/>
            <w:vAlign w:val="top"/>
          </w:tcPr>
          <w:p w14:paraId="4DB6673C">
            <w:pPr>
              <w:rPr>
                <w:rFonts w:hint="eastAsia"/>
                <w:sz w:val="24"/>
                <w:szCs w:val="24"/>
              </w:rPr>
            </w:pPr>
          </w:p>
        </w:tc>
        <w:tc>
          <w:tcPr>
            <w:tcW w:w="750" w:type="dxa"/>
            <w:noWrap w:val="0"/>
            <w:vAlign w:val="top"/>
          </w:tcPr>
          <w:p w14:paraId="0D8BB68F">
            <w:pPr>
              <w:rPr>
                <w:rFonts w:hint="eastAsia"/>
                <w:sz w:val="24"/>
                <w:szCs w:val="24"/>
              </w:rPr>
            </w:pPr>
          </w:p>
        </w:tc>
        <w:tc>
          <w:tcPr>
            <w:tcW w:w="783" w:type="dxa"/>
            <w:noWrap w:val="0"/>
            <w:vAlign w:val="top"/>
          </w:tcPr>
          <w:p w14:paraId="5DEF3CF7">
            <w:pPr>
              <w:rPr>
                <w:rFonts w:hint="eastAsia"/>
                <w:sz w:val="24"/>
                <w:szCs w:val="24"/>
              </w:rPr>
            </w:pPr>
          </w:p>
        </w:tc>
        <w:tc>
          <w:tcPr>
            <w:tcW w:w="1373" w:type="dxa"/>
            <w:noWrap w:val="0"/>
            <w:vAlign w:val="top"/>
          </w:tcPr>
          <w:p w14:paraId="00BBB584">
            <w:pPr>
              <w:rPr>
                <w:rFonts w:hint="eastAsia"/>
                <w:sz w:val="24"/>
                <w:szCs w:val="24"/>
              </w:rPr>
            </w:pPr>
          </w:p>
        </w:tc>
        <w:tc>
          <w:tcPr>
            <w:tcW w:w="916" w:type="dxa"/>
            <w:noWrap w:val="0"/>
            <w:vAlign w:val="top"/>
          </w:tcPr>
          <w:p w14:paraId="64FC9097">
            <w:pPr>
              <w:rPr>
                <w:rFonts w:hint="eastAsia"/>
                <w:sz w:val="24"/>
                <w:szCs w:val="24"/>
              </w:rPr>
            </w:pPr>
          </w:p>
        </w:tc>
        <w:tc>
          <w:tcPr>
            <w:tcW w:w="1168" w:type="dxa"/>
            <w:noWrap w:val="0"/>
            <w:vAlign w:val="top"/>
          </w:tcPr>
          <w:p w14:paraId="27B45E22">
            <w:pPr>
              <w:rPr>
                <w:rFonts w:hint="eastAsia"/>
                <w:sz w:val="24"/>
                <w:szCs w:val="24"/>
              </w:rPr>
            </w:pPr>
          </w:p>
        </w:tc>
        <w:tc>
          <w:tcPr>
            <w:tcW w:w="1038" w:type="dxa"/>
            <w:noWrap w:val="0"/>
            <w:vAlign w:val="top"/>
          </w:tcPr>
          <w:p w14:paraId="6CB01C5B">
            <w:pPr>
              <w:rPr>
                <w:rFonts w:hint="eastAsia"/>
                <w:sz w:val="24"/>
                <w:szCs w:val="24"/>
              </w:rPr>
            </w:pPr>
          </w:p>
        </w:tc>
        <w:tc>
          <w:tcPr>
            <w:tcW w:w="1044" w:type="dxa"/>
            <w:noWrap w:val="0"/>
            <w:vAlign w:val="top"/>
          </w:tcPr>
          <w:p w14:paraId="06BC6662">
            <w:pPr>
              <w:rPr>
                <w:rFonts w:hint="eastAsia"/>
                <w:sz w:val="24"/>
                <w:szCs w:val="24"/>
              </w:rPr>
            </w:pPr>
          </w:p>
        </w:tc>
        <w:tc>
          <w:tcPr>
            <w:tcW w:w="673" w:type="dxa"/>
            <w:noWrap w:val="0"/>
            <w:vAlign w:val="top"/>
          </w:tcPr>
          <w:p w14:paraId="0B66FB43">
            <w:pPr>
              <w:rPr>
                <w:rFonts w:hint="eastAsia"/>
                <w:sz w:val="24"/>
                <w:szCs w:val="24"/>
              </w:rPr>
            </w:pPr>
          </w:p>
        </w:tc>
        <w:tc>
          <w:tcPr>
            <w:tcW w:w="673" w:type="dxa"/>
            <w:noWrap w:val="0"/>
            <w:vAlign w:val="top"/>
          </w:tcPr>
          <w:p w14:paraId="65DBB0CD">
            <w:pPr>
              <w:rPr>
                <w:rFonts w:hint="eastAsia"/>
                <w:sz w:val="24"/>
                <w:szCs w:val="24"/>
              </w:rPr>
            </w:pPr>
          </w:p>
        </w:tc>
        <w:tc>
          <w:tcPr>
            <w:tcW w:w="1292" w:type="dxa"/>
            <w:noWrap w:val="0"/>
            <w:vAlign w:val="top"/>
          </w:tcPr>
          <w:p w14:paraId="7DA79254">
            <w:pPr>
              <w:rPr>
                <w:rFonts w:hint="eastAsia"/>
                <w:sz w:val="24"/>
                <w:szCs w:val="24"/>
              </w:rPr>
            </w:pPr>
          </w:p>
        </w:tc>
        <w:tc>
          <w:tcPr>
            <w:tcW w:w="683" w:type="dxa"/>
            <w:noWrap w:val="0"/>
            <w:vAlign w:val="top"/>
          </w:tcPr>
          <w:p w14:paraId="3948B081">
            <w:pPr>
              <w:rPr>
                <w:rFonts w:hint="eastAsia"/>
                <w:sz w:val="24"/>
                <w:szCs w:val="24"/>
              </w:rPr>
            </w:pPr>
          </w:p>
        </w:tc>
        <w:tc>
          <w:tcPr>
            <w:tcW w:w="1033" w:type="dxa"/>
            <w:noWrap w:val="0"/>
            <w:vAlign w:val="top"/>
          </w:tcPr>
          <w:p w14:paraId="01FBF838">
            <w:pPr>
              <w:rPr>
                <w:rFonts w:hint="eastAsia"/>
                <w:sz w:val="24"/>
                <w:szCs w:val="24"/>
              </w:rPr>
            </w:pPr>
          </w:p>
        </w:tc>
        <w:tc>
          <w:tcPr>
            <w:tcW w:w="900" w:type="dxa"/>
            <w:noWrap w:val="0"/>
            <w:vAlign w:val="top"/>
          </w:tcPr>
          <w:p w14:paraId="2A56D4AB">
            <w:pPr>
              <w:rPr>
                <w:rFonts w:hint="eastAsia"/>
                <w:sz w:val="24"/>
                <w:szCs w:val="24"/>
              </w:rPr>
            </w:pPr>
          </w:p>
        </w:tc>
        <w:tc>
          <w:tcPr>
            <w:tcW w:w="997" w:type="dxa"/>
            <w:noWrap w:val="0"/>
            <w:vAlign w:val="top"/>
          </w:tcPr>
          <w:p w14:paraId="128403F3">
            <w:pPr>
              <w:rPr>
                <w:rFonts w:hint="eastAsia"/>
                <w:sz w:val="24"/>
                <w:szCs w:val="24"/>
              </w:rPr>
            </w:pPr>
          </w:p>
        </w:tc>
      </w:tr>
      <w:tr w14:paraId="0A70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0" w:type="dxa"/>
            <w:gridSpan w:val="2"/>
            <w:noWrap w:val="0"/>
            <w:vAlign w:val="center"/>
          </w:tcPr>
          <w:p w14:paraId="3DB5D63C">
            <w:pPr>
              <w:jc w:val="both"/>
              <w:rPr>
                <w:rFonts w:hint="eastAsia" w:ascii="宋体" w:hAnsi="宋体" w:eastAsia="宋体" w:cs="宋体"/>
              </w:rPr>
            </w:pPr>
            <w:r>
              <w:rPr>
                <w:rFonts w:hint="eastAsia" w:ascii="宋体" w:hAnsi="宋体" w:eastAsia="宋体" w:cs="宋体"/>
              </w:rPr>
              <w:t>填表说明</w:t>
            </w:r>
          </w:p>
        </w:tc>
        <w:tc>
          <w:tcPr>
            <w:tcW w:w="12573" w:type="dxa"/>
            <w:gridSpan w:val="13"/>
            <w:noWrap w:val="0"/>
            <w:vAlign w:val="center"/>
          </w:tcPr>
          <w:p w14:paraId="61181ED8">
            <w:pPr>
              <w:rPr>
                <w:rFonts w:hint="eastAsia" w:ascii="宋体" w:hAnsi="宋体" w:eastAsia="宋体" w:cs="宋体"/>
                <w:bCs/>
                <w:sz w:val="20"/>
                <w:szCs w:val="20"/>
              </w:rPr>
            </w:pPr>
            <w:r>
              <w:rPr>
                <w:rFonts w:hint="eastAsia" w:ascii="宋体" w:hAnsi="宋体" w:eastAsia="宋体" w:cs="宋体"/>
                <w:bCs/>
                <w:sz w:val="20"/>
                <w:szCs w:val="20"/>
              </w:rPr>
              <w:t>1、</w:t>
            </w:r>
            <w:r>
              <w:rPr>
                <w:rFonts w:hint="eastAsia" w:ascii="宋体" w:hAnsi="宋体" w:eastAsia="宋体" w:cs="宋体"/>
                <w:b/>
                <w:bCs w:val="0"/>
                <w:sz w:val="20"/>
                <w:szCs w:val="20"/>
              </w:rPr>
              <w:t>填写范围为第三类医疗器械经营企业</w:t>
            </w:r>
            <w:r>
              <w:rPr>
                <w:rFonts w:hint="eastAsia" w:ascii="宋体" w:hAnsi="宋体" w:eastAsia="宋体" w:cs="宋体"/>
                <w:b/>
                <w:bCs w:val="0"/>
                <w:sz w:val="20"/>
                <w:szCs w:val="20"/>
                <w:lang w:eastAsia="zh-CN"/>
              </w:rPr>
              <w:t>（含网络销售企业）</w:t>
            </w:r>
            <w:r>
              <w:rPr>
                <w:rFonts w:hint="eastAsia" w:ascii="宋体" w:hAnsi="宋体" w:eastAsia="宋体" w:cs="宋体"/>
                <w:b/>
                <w:bCs w:val="0"/>
                <w:sz w:val="20"/>
                <w:szCs w:val="20"/>
              </w:rPr>
              <w:t>和专门提供运输贮存服务的企业</w:t>
            </w:r>
            <w:r>
              <w:rPr>
                <w:rFonts w:hint="eastAsia" w:ascii="宋体" w:hAnsi="宋体" w:eastAsia="宋体" w:cs="宋体"/>
                <w:bCs/>
                <w:sz w:val="20"/>
                <w:szCs w:val="20"/>
              </w:rPr>
              <w:t>。</w:t>
            </w:r>
          </w:p>
          <w:p w14:paraId="43314644">
            <w:pPr>
              <w:rPr>
                <w:rFonts w:hint="eastAsia" w:ascii="宋体" w:hAnsi="宋体" w:eastAsia="宋体" w:cs="宋体"/>
                <w:bCs/>
                <w:sz w:val="20"/>
                <w:szCs w:val="20"/>
              </w:rPr>
            </w:pPr>
            <w:r>
              <w:rPr>
                <w:rFonts w:hint="eastAsia" w:ascii="宋体" w:hAnsi="宋体" w:eastAsia="宋体" w:cs="宋体"/>
                <w:bCs/>
                <w:sz w:val="20"/>
                <w:szCs w:val="20"/>
              </w:rPr>
              <w:t>2、企业类别：第三类；第二类第三类兼营。</w:t>
            </w:r>
          </w:p>
          <w:p w14:paraId="32B3ACE1">
            <w:pPr>
              <w:rPr>
                <w:rFonts w:hint="eastAsia" w:ascii="宋体" w:hAnsi="宋体" w:eastAsia="宋体" w:cs="宋体"/>
                <w:bCs/>
                <w:sz w:val="20"/>
                <w:szCs w:val="20"/>
              </w:rPr>
            </w:pPr>
            <w:r>
              <w:rPr>
                <w:rFonts w:hint="eastAsia" w:ascii="宋体" w:hAnsi="宋体" w:eastAsia="宋体" w:cs="宋体"/>
                <w:bCs/>
                <w:sz w:val="20"/>
                <w:szCs w:val="20"/>
              </w:rPr>
              <w:t>发证日期和有效日期：许可证发证日期和有效日期。</w:t>
            </w:r>
          </w:p>
          <w:p w14:paraId="77EB6057">
            <w:pPr>
              <w:rPr>
                <w:rFonts w:hint="eastAsia" w:ascii="宋体" w:hAnsi="宋体" w:eastAsia="宋体" w:cs="宋体"/>
                <w:bCs/>
                <w:sz w:val="20"/>
                <w:szCs w:val="20"/>
              </w:rPr>
            </w:pPr>
            <w:r>
              <w:rPr>
                <w:rFonts w:hint="eastAsia" w:ascii="宋体" w:hAnsi="宋体" w:eastAsia="宋体" w:cs="宋体"/>
                <w:bCs/>
                <w:sz w:val="20"/>
                <w:szCs w:val="20"/>
              </w:rPr>
              <w:t>经营方式：批发；零售；批零兼营；专门提供运输贮存服务。</w:t>
            </w:r>
          </w:p>
          <w:p w14:paraId="2996A227">
            <w:pPr>
              <w:rPr>
                <w:rFonts w:hint="eastAsia" w:ascii="宋体" w:hAnsi="宋体" w:eastAsia="宋体" w:cs="宋体"/>
                <w:bCs/>
                <w:sz w:val="20"/>
                <w:szCs w:val="20"/>
              </w:rPr>
            </w:pPr>
            <w:r>
              <w:rPr>
                <w:rFonts w:hint="eastAsia" w:ascii="宋体" w:hAnsi="宋体" w:eastAsia="宋体" w:cs="宋体"/>
                <w:bCs/>
                <w:sz w:val="20"/>
                <w:szCs w:val="20"/>
              </w:rPr>
              <w:t>网络销售备案：是；否。</w:t>
            </w:r>
          </w:p>
          <w:p w14:paraId="688C210A">
            <w:pPr>
              <w:jc w:val="both"/>
              <w:rPr>
                <w:rFonts w:hint="eastAsia" w:ascii="宋体" w:hAnsi="宋体" w:eastAsia="宋体" w:cs="宋体"/>
              </w:rPr>
            </w:pPr>
            <w:r>
              <w:rPr>
                <w:rFonts w:hint="eastAsia" w:ascii="宋体" w:hAnsi="宋体" w:eastAsia="宋体" w:cs="宋体"/>
                <w:bCs/>
                <w:sz w:val="20"/>
                <w:szCs w:val="20"/>
              </w:rPr>
              <w:t>网络销售类型：入驻类；自建类。</w:t>
            </w:r>
          </w:p>
        </w:tc>
      </w:tr>
    </w:tbl>
    <w:p w14:paraId="55877E61">
      <w:pPr>
        <w:tabs>
          <w:tab w:val="left" w:pos="7513"/>
        </w:tabs>
        <w:spacing w:line="560" w:lineRule="exact"/>
        <w:ind w:firstLine="280" w:firstLineChars="100"/>
        <w:rPr>
          <w:rFonts w:hint="eastAsia" w:ascii="宋体" w:hAnsi="宋体" w:eastAsia="宋体" w:cs="宋体"/>
          <w:sz w:val="28"/>
          <w:szCs w:val="28"/>
          <w:lang w:eastAsia="zh-CN"/>
        </w:rPr>
        <w:sectPr>
          <w:pgSz w:w="16838" w:h="11906" w:orient="landscape"/>
          <w:pgMar w:top="1418" w:right="1418" w:bottom="1418" w:left="1418" w:header="851" w:footer="850" w:gutter="0"/>
          <w:cols w:space="720" w:num="1"/>
          <w:docGrid w:type="lines" w:linePitch="312" w:charSpace="0"/>
        </w:sectPr>
      </w:pPr>
      <w:r>
        <w:rPr>
          <w:rFonts w:hint="eastAsia" w:ascii="宋体" w:hAnsi="宋体" w:eastAsia="宋体" w:cs="宋体"/>
          <w:sz w:val="28"/>
          <w:szCs w:val="28"/>
          <w:lang w:eastAsia="zh-CN"/>
        </w:rPr>
        <w:t>填表单位：</w:t>
      </w:r>
    </w:p>
    <w:p w14:paraId="07AEBB01">
      <w:pPr>
        <w:spacing w:line="560" w:lineRule="exact"/>
        <w:jc w:val="left"/>
        <w:rPr>
          <w:rFonts w:hint="eastAsia" w:ascii="方正小标宋简体" w:eastAsia="黑体"/>
          <w:sz w:val="44"/>
          <w:szCs w:val="44"/>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3C0FB9CE">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三门峡市2026</w:t>
      </w:r>
      <w:r>
        <w:rPr>
          <w:rFonts w:hint="eastAsia" w:ascii="方正小标宋简体" w:eastAsia="方正小标宋简体"/>
          <w:sz w:val="44"/>
          <w:szCs w:val="44"/>
          <w:lang w:eastAsia="zh-CN"/>
        </w:rPr>
        <w:t>年度医疗器械使用单位信息表</w:t>
      </w:r>
    </w:p>
    <w:p w14:paraId="74C15359">
      <w:pPr>
        <w:jc w:val="left"/>
        <w:rPr>
          <w:rFonts w:hint="eastAsia" w:ascii="仿宋_GB2312" w:eastAsia="仿宋_GB2312"/>
          <w:sz w:val="24"/>
          <w:szCs w:val="24"/>
        </w:rPr>
      </w:pPr>
      <w:r>
        <w:rPr>
          <w:rFonts w:hint="eastAsia" w:ascii="宋体" w:hAnsi="宋体" w:eastAsia="宋体" w:cs="宋体"/>
          <w:bCs/>
          <w:kern w:val="0"/>
          <w:sz w:val="24"/>
          <w:szCs w:val="24"/>
        </w:rPr>
        <w:t>填表单位</w:t>
      </w:r>
      <w:r>
        <w:rPr>
          <w:rFonts w:hint="eastAsia" w:ascii="仿宋_GB2312" w:hAnsi="宋体" w:eastAsia="仿宋_GB2312" w:cs="宋体"/>
          <w:bCs/>
          <w:kern w:val="0"/>
          <w:sz w:val="24"/>
          <w:szCs w:val="24"/>
        </w:rPr>
        <w:t>：</w:t>
      </w:r>
    </w:p>
    <w:tbl>
      <w:tblPr>
        <w:tblStyle w:val="13"/>
        <w:tblW w:w="15129" w:type="dxa"/>
        <w:jc w:val="center"/>
        <w:tblLayout w:type="fixed"/>
        <w:tblCellMar>
          <w:top w:w="0" w:type="dxa"/>
          <w:left w:w="108" w:type="dxa"/>
          <w:bottom w:w="0" w:type="dxa"/>
          <w:right w:w="108" w:type="dxa"/>
        </w:tblCellMar>
      </w:tblPr>
      <w:tblGrid>
        <w:gridCol w:w="444"/>
        <w:gridCol w:w="993"/>
        <w:gridCol w:w="1276"/>
        <w:gridCol w:w="1275"/>
        <w:gridCol w:w="1418"/>
        <w:gridCol w:w="1276"/>
        <w:gridCol w:w="1417"/>
        <w:gridCol w:w="992"/>
        <w:gridCol w:w="993"/>
        <w:gridCol w:w="1559"/>
        <w:gridCol w:w="1874"/>
        <w:gridCol w:w="1612"/>
      </w:tblGrid>
      <w:tr w14:paraId="55CFD5D8">
        <w:tblPrEx>
          <w:tblCellMar>
            <w:top w:w="0" w:type="dxa"/>
            <w:left w:w="108" w:type="dxa"/>
            <w:bottom w:w="0" w:type="dxa"/>
            <w:right w:w="108" w:type="dxa"/>
          </w:tblCellMar>
        </w:tblPrEx>
        <w:trPr>
          <w:trHeight w:val="1215" w:hRule="atLeast"/>
          <w:jc w:val="center"/>
        </w:trPr>
        <w:tc>
          <w:tcPr>
            <w:tcW w:w="444" w:type="dxa"/>
            <w:tcBorders>
              <w:top w:val="single" w:color="auto" w:sz="4" w:space="0"/>
              <w:left w:val="single" w:color="auto" w:sz="4" w:space="0"/>
              <w:bottom w:val="single" w:color="auto" w:sz="4" w:space="0"/>
              <w:right w:val="single" w:color="auto" w:sz="4" w:space="0"/>
            </w:tcBorders>
            <w:noWrap w:val="0"/>
            <w:vAlign w:val="center"/>
          </w:tcPr>
          <w:p w14:paraId="22FE845A">
            <w:pPr>
              <w:widowControl/>
              <w:jc w:val="center"/>
              <w:rPr>
                <w:rFonts w:hint="eastAsia" w:ascii="黑体" w:hAnsi="黑体" w:eastAsia="黑体" w:cs="宋体"/>
                <w:bCs/>
                <w:kern w:val="0"/>
                <w:szCs w:val="21"/>
              </w:rPr>
            </w:pPr>
            <w:r>
              <w:rPr>
                <w:rFonts w:hint="eastAsia" w:ascii="黑体" w:hAnsi="黑体" w:eastAsia="黑体" w:cs="宋体"/>
                <w:bCs/>
                <w:kern w:val="0"/>
                <w:szCs w:val="21"/>
              </w:rPr>
              <w:t>序号</w:t>
            </w:r>
          </w:p>
        </w:tc>
        <w:tc>
          <w:tcPr>
            <w:tcW w:w="993" w:type="dxa"/>
            <w:tcBorders>
              <w:top w:val="single" w:color="auto" w:sz="4" w:space="0"/>
              <w:left w:val="nil"/>
              <w:bottom w:val="single" w:color="auto" w:sz="4" w:space="0"/>
              <w:right w:val="single" w:color="auto" w:sz="4" w:space="0"/>
            </w:tcBorders>
            <w:noWrap w:val="0"/>
            <w:vAlign w:val="center"/>
          </w:tcPr>
          <w:p w14:paraId="3F1B6D53">
            <w:pPr>
              <w:widowControl/>
              <w:jc w:val="center"/>
              <w:rPr>
                <w:rFonts w:hint="eastAsia" w:ascii="黑体" w:hAnsi="黑体" w:eastAsia="黑体" w:cs="宋体"/>
                <w:bCs/>
                <w:kern w:val="0"/>
                <w:szCs w:val="21"/>
              </w:rPr>
            </w:pPr>
            <w:r>
              <w:rPr>
                <w:rFonts w:hint="eastAsia" w:ascii="黑体" w:hAnsi="黑体" w:eastAsia="黑体" w:cs="宋体"/>
                <w:bCs/>
                <w:kern w:val="0"/>
                <w:szCs w:val="21"/>
              </w:rPr>
              <w:t>地市</w:t>
            </w:r>
          </w:p>
        </w:tc>
        <w:tc>
          <w:tcPr>
            <w:tcW w:w="1276" w:type="dxa"/>
            <w:tcBorders>
              <w:top w:val="single" w:color="auto" w:sz="4" w:space="0"/>
              <w:left w:val="nil"/>
              <w:bottom w:val="single" w:color="auto" w:sz="4" w:space="0"/>
              <w:right w:val="single" w:color="auto" w:sz="4" w:space="0"/>
            </w:tcBorders>
            <w:noWrap w:val="0"/>
            <w:vAlign w:val="center"/>
          </w:tcPr>
          <w:p w14:paraId="6147D0B2">
            <w:pPr>
              <w:widowControl/>
              <w:jc w:val="center"/>
              <w:rPr>
                <w:rFonts w:hint="eastAsia" w:ascii="黑体" w:hAnsi="黑体" w:eastAsia="黑体" w:cs="宋体"/>
                <w:bCs/>
                <w:kern w:val="0"/>
                <w:szCs w:val="21"/>
              </w:rPr>
            </w:pPr>
            <w:r>
              <w:rPr>
                <w:rFonts w:hint="eastAsia" w:ascii="黑体" w:hAnsi="黑体" w:eastAsia="黑体" w:cs="宋体"/>
                <w:bCs/>
                <w:kern w:val="0"/>
                <w:szCs w:val="21"/>
              </w:rPr>
              <w:t>机构名称</w:t>
            </w:r>
          </w:p>
        </w:tc>
        <w:tc>
          <w:tcPr>
            <w:tcW w:w="1275" w:type="dxa"/>
            <w:tcBorders>
              <w:top w:val="single" w:color="auto" w:sz="4" w:space="0"/>
              <w:left w:val="nil"/>
              <w:bottom w:val="single" w:color="auto" w:sz="4" w:space="0"/>
              <w:right w:val="single" w:color="auto" w:sz="4" w:space="0"/>
            </w:tcBorders>
            <w:noWrap w:val="0"/>
            <w:vAlign w:val="center"/>
          </w:tcPr>
          <w:p w14:paraId="14F9BA16">
            <w:pPr>
              <w:widowControl/>
              <w:jc w:val="center"/>
              <w:rPr>
                <w:rFonts w:hint="eastAsia" w:ascii="黑体" w:hAnsi="黑体" w:eastAsia="黑体" w:cs="宋体"/>
                <w:bCs/>
                <w:kern w:val="0"/>
                <w:szCs w:val="21"/>
              </w:rPr>
            </w:pPr>
            <w:r>
              <w:rPr>
                <w:rFonts w:hint="eastAsia" w:ascii="黑体" w:hAnsi="黑体" w:eastAsia="黑体" w:cs="宋体"/>
                <w:bCs/>
                <w:kern w:val="0"/>
                <w:szCs w:val="21"/>
              </w:rPr>
              <w:t>机构类别</w:t>
            </w:r>
          </w:p>
        </w:tc>
        <w:tc>
          <w:tcPr>
            <w:tcW w:w="1418" w:type="dxa"/>
            <w:tcBorders>
              <w:top w:val="single" w:color="auto" w:sz="4" w:space="0"/>
              <w:left w:val="nil"/>
              <w:bottom w:val="single" w:color="auto" w:sz="4" w:space="0"/>
              <w:right w:val="single" w:color="auto" w:sz="4" w:space="0"/>
            </w:tcBorders>
            <w:noWrap w:val="0"/>
            <w:vAlign w:val="center"/>
          </w:tcPr>
          <w:p w14:paraId="63448842">
            <w:pPr>
              <w:widowControl/>
              <w:jc w:val="center"/>
              <w:rPr>
                <w:rFonts w:hint="eastAsia" w:ascii="黑体" w:hAnsi="黑体" w:eastAsia="黑体" w:cs="宋体"/>
                <w:bCs/>
                <w:kern w:val="0"/>
                <w:szCs w:val="21"/>
              </w:rPr>
            </w:pPr>
            <w:r>
              <w:rPr>
                <w:rFonts w:hint="eastAsia" w:ascii="黑体" w:hAnsi="黑体" w:eastAsia="黑体" w:cs="宋体"/>
                <w:bCs/>
                <w:kern w:val="0"/>
                <w:szCs w:val="21"/>
              </w:rPr>
              <w:t>经济类型</w:t>
            </w:r>
          </w:p>
        </w:tc>
        <w:tc>
          <w:tcPr>
            <w:tcW w:w="1276" w:type="dxa"/>
            <w:tcBorders>
              <w:top w:val="single" w:color="auto" w:sz="4" w:space="0"/>
              <w:left w:val="nil"/>
              <w:bottom w:val="single" w:color="auto" w:sz="4" w:space="0"/>
              <w:right w:val="single" w:color="auto" w:sz="4" w:space="0"/>
            </w:tcBorders>
            <w:noWrap w:val="0"/>
            <w:vAlign w:val="center"/>
          </w:tcPr>
          <w:p w14:paraId="4A4F757C">
            <w:pPr>
              <w:widowControl/>
              <w:jc w:val="center"/>
              <w:rPr>
                <w:rFonts w:hint="eastAsia" w:ascii="黑体" w:hAnsi="黑体" w:eastAsia="黑体" w:cs="宋体"/>
                <w:bCs/>
                <w:kern w:val="0"/>
                <w:szCs w:val="21"/>
              </w:rPr>
            </w:pPr>
            <w:r>
              <w:rPr>
                <w:rFonts w:hint="eastAsia" w:ascii="黑体" w:hAnsi="黑体" w:eastAsia="黑体" w:cs="宋体"/>
                <w:bCs/>
                <w:kern w:val="0"/>
                <w:szCs w:val="21"/>
              </w:rPr>
              <w:t>地址</w:t>
            </w:r>
          </w:p>
        </w:tc>
        <w:tc>
          <w:tcPr>
            <w:tcW w:w="1417" w:type="dxa"/>
            <w:tcBorders>
              <w:top w:val="single" w:color="auto" w:sz="4" w:space="0"/>
              <w:left w:val="nil"/>
              <w:bottom w:val="single" w:color="auto" w:sz="4" w:space="0"/>
              <w:right w:val="single" w:color="auto" w:sz="4" w:space="0"/>
            </w:tcBorders>
            <w:noWrap w:val="0"/>
            <w:vAlign w:val="center"/>
          </w:tcPr>
          <w:p w14:paraId="1BB192CA">
            <w:pPr>
              <w:widowControl/>
              <w:jc w:val="center"/>
              <w:rPr>
                <w:rFonts w:hint="eastAsia" w:ascii="黑体" w:hAnsi="黑体" w:eastAsia="黑体" w:cs="宋体"/>
                <w:bCs/>
                <w:kern w:val="0"/>
                <w:szCs w:val="21"/>
              </w:rPr>
            </w:pPr>
            <w:r>
              <w:rPr>
                <w:rFonts w:hint="eastAsia" w:ascii="黑体" w:hAnsi="黑体" w:eastAsia="黑体" w:cs="宋体"/>
                <w:bCs/>
                <w:kern w:val="0"/>
                <w:szCs w:val="21"/>
              </w:rPr>
              <w:t>社会信用</w:t>
            </w:r>
          </w:p>
          <w:p w14:paraId="26DA6085">
            <w:pPr>
              <w:widowControl/>
              <w:jc w:val="center"/>
              <w:rPr>
                <w:rFonts w:hint="eastAsia" w:ascii="黑体" w:hAnsi="黑体" w:eastAsia="黑体" w:cs="宋体"/>
                <w:bCs/>
                <w:kern w:val="0"/>
                <w:szCs w:val="21"/>
              </w:rPr>
            </w:pPr>
            <w:r>
              <w:rPr>
                <w:rFonts w:hint="eastAsia" w:ascii="黑体" w:hAnsi="黑体" w:eastAsia="黑体" w:cs="宋体"/>
                <w:bCs/>
                <w:kern w:val="0"/>
                <w:szCs w:val="21"/>
              </w:rPr>
              <w:t>代码</w:t>
            </w:r>
          </w:p>
        </w:tc>
        <w:tc>
          <w:tcPr>
            <w:tcW w:w="992" w:type="dxa"/>
            <w:tcBorders>
              <w:top w:val="single" w:color="auto" w:sz="4" w:space="0"/>
              <w:left w:val="nil"/>
              <w:bottom w:val="single" w:color="auto" w:sz="4" w:space="0"/>
              <w:right w:val="single" w:color="auto" w:sz="4" w:space="0"/>
            </w:tcBorders>
            <w:noWrap w:val="0"/>
            <w:vAlign w:val="center"/>
          </w:tcPr>
          <w:p w14:paraId="7E6F833B">
            <w:pPr>
              <w:widowControl/>
              <w:jc w:val="center"/>
              <w:rPr>
                <w:rFonts w:hint="eastAsia" w:ascii="黑体" w:hAnsi="黑体" w:eastAsia="黑体" w:cs="宋体"/>
                <w:bCs/>
                <w:kern w:val="0"/>
                <w:szCs w:val="21"/>
              </w:rPr>
            </w:pPr>
            <w:r>
              <w:rPr>
                <w:rFonts w:hint="eastAsia" w:ascii="黑体" w:hAnsi="黑体" w:eastAsia="黑体" w:cs="宋体"/>
                <w:bCs/>
                <w:kern w:val="0"/>
                <w:szCs w:val="21"/>
              </w:rPr>
              <w:t>主要</w:t>
            </w:r>
          </w:p>
          <w:p w14:paraId="2313FC0F">
            <w:pPr>
              <w:widowControl/>
              <w:jc w:val="center"/>
              <w:rPr>
                <w:rFonts w:hint="eastAsia" w:ascii="黑体" w:hAnsi="黑体" w:eastAsia="黑体" w:cs="宋体"/>
                <w:bCs/>
                <w:kern w:val="0"/>
                <w:szCs w:val="21"/>
              </w:rPr>
            </w:pPr>
            <w:r>
              <w:rPr>
                <w:rFonts w:hint="eastAsia" w:ascii="黑体" w:hAnsi="黑体" w:eastAsia="黑体" w:cs="宋体"/>
                <w:bCs/>
                <w:kern w:val="0"/>
                <w:szCs w:val="21"/>
              </w:rPr>
              <w:t>负责人</w:t>
            </w:r>
          </w:p>
        </w:tc>
        <w:tc>
          <w:tcPr>
            <w:tcW w:w="993" w:type="dxa"/>
            <w:tcBorders>
              <w:top w:val="single" w:color="auto" w:sz="4" w:space="0"/>
              <w:left w:val="nil"/>
              <w:bottom w:val="single" w:color="auto" w:sz="4" w:space="0"/>
              <w:right w:val="single" w:color="auto" w:sz="4" w:space="0"/>
            </w:tcBorders>
            <w:noWrap w:val="0"/>
            <w:vAlign w:val="center"/>
          </w:tcPr>
          <w:p w14:paraId="33932E53">
            <w:pPr>
              <w:widowControl/>
              <w:jc w:val="center"/>
              <w:rPr>
                <w:rFonts w:hint="eastAsia" w:ascii="黑体" w:hAnsi="黑体" w:eastAsia="黑体" w:cs="宋体"/>
                <w:bCs/>
                <w:kern w:val="0"/>
                <w:szCs w:val="21"/>
              </w:rPr>
            </w:pPr>
            <w:r>
              <w:rPr>
                <w:rFonts w:hint="eastAsia" w:ascii="黑体" w:hAnsi="黑体" w:eastAsia="黑体" w:cs="宋体"/>
                <w:bCs/>
                <w:kern w:val="0"/>
                <w:szCs w:val="21"/>
              </w:rPr>
              <w:t>法定</w:t>
            </w:r>
          </w:p>
          <w:p w14:paraId="2DD96A7E">
            <w:pPr>
              <w:widowControl/>
              <w:jc w:val="center"/>
              <w:rPr>
                <w:rFonts w:hint="eastAsia" w:ascii="黑体" w:hAnsi="黑体" w:eastAsia="黑体" w:cs="宋体"/>
                <w:bCs/>
                <w:kern w:val="0"/>
                <w:szCs w:val="21"/>
              </w:rPr>
            </w:pPr>
            <w:r>
              <w:rPr>
                <w:rFonts w:hint="eastAsia" w:ascii="黑体" w:hAnsi="黑体" w:eastAsia="黑体" w:cs="宋体"/>
                <w:bCs/>
                <w:kern w:val="0"/>
                <w:szCs w:val="21"/>
              </w:rPr>
              <w:t>代表人</w:t>
            </w:r>
          </w:p>
        </w:tc>
        <w:tc>
          <w:tcPr>
            <w:tcW w:w="1559" w:type="dxa"/>
            <w:tcBorders>
              <w:top w:val="single" w:color="auto" w:sz="4" w:space="0"/>
              <w:left w:val="nil"/>
              <w:bottom w:val="single" w:color="auto" w:sz="4" w:space="0"/>
              <w:right w:val="single" w:color="auto" w:sz="4" w:space="0"/>
            </w:tcBorders>
            <w:noWrap w:val="0"/>
            <w:vAlign w:val="center"/>
          </w:tcPr>
          <w:p w14:paraId="5C5DFE5D">
            <w:pPr>
              <w:widowControl/>
              <w:jc w:val="center"/>
              <w:rPr>
                <w:rFonts w:hint="eastAsia" w:ascii="黑体" w:hAnsi="黑体" w:eastAsia="黑体" w:cs="宋体"/>
                <w:bCs/>
                <w:kern w:val="0"/>
                <w:szCs w:val="21"/>
              </w:rPr>
            </w:pPr>
            <w:r>
              <w:rPr>
                <w:rFonts w:hint="eastAsia" w:ascii="黑体" w:hAnsi="黑体" w:eastAsia="黑体" w:cs="宋体"/>
                <w:bCs/>
                <w:kern w:val="0"/>
                <w:szCs w:val="21"/>
              </w:rPr>
              <w:t>医疗器械</w:t>
            </w:r>
          </w:p>
          <w:p w14:paraId="52EE4AEA">
            <w:pPr>
              <w:widowControl/>
              <w:jc w:val="center"/>
              <w:rPr>
                <w:rFonts w:hint="eastAsia" w:ascii="黑体" w:hAnsi="黑体" w:eastAsia="黑体" w:cs="宋体"/>
                <w:bCs/>
                <w:kern w:val="0"/>
                <w:szCs w:val="21"/>
              </w:rPr>
            </w:pPr>
            <w:r>
              <w:rPr>
                <w:rFonts w:hint="eastAsia" w:ascii="黑体" w:hAnsi="黑体" w:eastAsia="黑体" w:cs="宋体"/>
                <w:bCs/>
                <w:kern w:val="0"/>
                <w:szCs w:val="21"/>
              </w:rPr>
              <w:t>质量管理机构</w:t>
            </w:r>
          </w:p>
        </w:tc>
        <w:tc>
          <w:tcPr>
            <w:tcW w:w="1874" w:type="dxa"/>
            <w:tcBorders>
              <w:top w:val="single" w:color="auto" w:sz="4" w:space="0"/>
              <w:left w:val="nil"/>
              <w:bottom w:val="single" w:color="auto" w:sz="4" w:space="0"/>
              <w:right w:val="single" w:color="auto" w:sz="4" w:space="0"/>
            </w:tcBorders>
            <w:noWrap w:val="0"/>
            <w:vAlign w:val="center"/>
          </w:tcPr>
          <w:p w14:paraId="43AFD359">
            <w:pPr>
              <w:widowControl/>
              <w:jc w:val="center"/>
              <w:rPr>
                <w:rFonts w:hint="eastAsia" w:ascii="黑体" w:hAnsi="黑体" w:eastAsia="黑体" w:cs="宋体"/>
                <w:bCs/>
                <w:kern w:val="0"/>
                <w:szCs w:val="21"/>
              </w:rPr>
            </w:pPr>
            <w:r>
              <w:rPr>
                <w:rFonts w:hint="eastAsia" w:ascii="黑体" w:hAnsi="黑体" w:eastAsia="黑体" w:cs="宋体"/>
                <w:bCs/>
                <w:kern w:val="0"/>
                <w:szCs w:val="21"/>
              </w:rPr>
              <w:t>医疗器械质量</w:t>
            </w:r>
          </w:p>
          <w:p w14:paraId="51FD88A4">
            <w:pPr>
              <w:widowControl/>
              <w:jc w:val="center"/>
              <w:rPr>
                <w:rFonts w:hint="eastAsia" w:ascii="黑体" w:hAnsi="黑体" w:eastAsia="黑体" w:cs="宋体"/>
                <w:bCs/>
                <w:kern w:val="0"/>
                <w:szCs w:val="21"/>
              </w:rPr>
            </w:pPr>
            <w:r>
              <w:rPr>
                <w:rFonts w:hint="eastAsia" w:ascii="黑体" w:hAnsi="黑体" w:eastAsia="黑体" w:cs="宋体"/>
                <w:bCs/>
                <w:kern w:val="0"/>
                <w:szCs w:val="21"/>
              </w:rPr>
              <w:t>管理机构负责人</w:t>
            </w:r>
          </w:p>
        </w:tc>
        <w:tc>
          <w:tcPr>
            <w:tcW w:w="1612" w:type="dxa"/>
            <w:tcBorders>
              <w:top w:val="single" w:color="auto" w:sz="4" w:space="0"/>
              <w:left w:val="nil"/>
              <w:bottom w:val="single" w:color="auto" w:sz="4" w:space="0"/>
              <w:right w:val="single" w:color="auto" w:sz="4" w:space="0"/>
            </w:tcBorders>
            <w:noWrap w:val="0"/>
            <w:vAlign w:val="center"/>
          </w:tcPr>
          <w:p w14:paraId="33DCAC29">
            <w:pPr>
              <w:widowControl/>
              <w:jc w:val="center"/>
              <w:rPr>
                <w:rFonts w:hint="eastAsia" w:ascii="黑体" w:hAnsi="黑体" w:eastAsia="黑体" w:cs="宋体"/>
                <w:bCs/>
                <w:kern w:val="0"/>
                <w:szCs w:val="21"/>
              </w:rPr>
            </w:pPr>
            <w:r>
              <w:rPr>
                <w:rFonts w:hint="eastAsia" w:ascii="黑体" w:hAnsi="黑体" w:eastAsia="黑体" w:cs="宋体"/>
                <w:bCs/>
                <w:kern w:val="0"/>
                <w:szCs w:val="21"/>
              </w:rPr>
              <w:t>联系方式</w:t>
            </w:r>
          </w:p>
          <w:p w14:paraId="1A96AA89">
            <w:pPr>
              <w:widowControl/>
              <w:jc w:val="center"/>
              <w:rPr>
                <w:rFonts w:hint="eastAsia" w:ascii="黑体" w:hAnsi="黑体" w:eastAsia="黑体" w:cs="宋体"/>
                <w:bCs/>
                <w:kern w:val="0"/>
                <w:szCs w:val="21"/>
              </w:rPr>
            </w:pPr>
            <w:r>
              <w:rPr>
                <w:rFonts w:hint="eastAsia" w:ascii="黑体" w:hAnsi="黑体" w:eastAsia="黑体" w:cs="宋体"/>
                <w:bCs/>
                <w:kern w:val="0"/>
                <w:szCs w:val="21"/>
              </w:rPr>
              <w:t>（固话及手机）</w:t>
            </w:r>
          </w:p>
        </w:tc>
      </w:tr>
      <w:tr w14:paraId="4487E28E">
        <w:tblPrEx>
          <w:tblCellMar>
            <w:top w:w="0" w:type="dxa"/>
            <w:left w:w="108" w:type="dxa"/>
            <w:bottom w:w="0" w:type="dxa"/>
            <w:right w:w="108" w:type="dxa"/>
          </w:tblCellMar>
        </w:tblPrEx>
        <w:trPr>
          <w:trHeight w:val="499" w:hRule="atLeast"/>
          <w:jc w:val="center"/>
        </w:trPr>
        <w:tc>
          <w:tcPr>
            <w:tcW w:w="444" w:type="dxa"/>
            <w:tcBorders>
              <w:top w:val="nil"/>
              <w:left w:val="single" w:color="auto" w:sz="4" w:space="0"/>
              <w:bottom w:val="single" w:color="auto" w:sz="4" w:space="0"/>
              <w:right w:val="single" w:color="auto" w:sz="4" w:space="0"/>
            </w:tcBorders>
            <w:noWrap w:val="0"/>
            <w:vAlign w:val="center"/>
          </w:tcPr>
          <w:p w14:paraId="0AD12764">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78140E64">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28C1EDC4">
            <w:pPr>
              <w:widowControl/>
              <w:jc w:val="center"/>
              <w:rPr>
                <w:rFonts w:hint="eastAsia" w:ascii="宋体" w:cs="宋体"/>
                <w:kern w:val="0"/>
                <w:sz w:val="24"/>
                <w:szCs w:val="24"/>
              </w:rPr>
            </w:pPr>
            <w:r>
              <w:rPr>
                <w:rFonts w:hint="eastAsia" w:ascii="宋体" w:hAnsi="宋体" w:cs="宋体"/>
                <w:kern w:val="0"/>
                <w:sz w:val="24"/>
                <w:szCs w:val="24"/>
              </w:rPr>
              <w:t>　</w:t>
            </w:r>
          </w:p>
        </w:tc>
        <w:tc>
          <w:tcPr>
            <w:tcW w:w="1275" w:type="dxa"/>
            <w:tcBorders>
              <w:top w:val="nil"/>
              <w:left w:val="nil"/>
              <w:bottom w:val="single" w:color="auto" w:sz="4" w:space="0"/>
              <w:right w:val="single" w:color="auto" w:sz="4" w:space="0"/>
            </w:tcBorders>
            <w:noWrap w:val="0"/>
            <w:vAlign w:val="center"/>
          </w:tcPr>
          <w:p w14:paraId="67C31EE4">
            <w:pPr>
              <w:widowControl/>
              <w:jc w:val="center"/>
              <w:rPr>
                <w:rFonts w:hint="eastAsia" w:ascii="宋体" w:cs="宋体"/>
                <w:kern w:val="0"/>
                <w:sz w:val="24"/>
                <w:szCs w:val="24"/>
              </w:rPr>
            </w:pPr>
            <w:r>
              <w:rPr>
                <w:rFonts w:hint="eastAsia" w:ascii="宋体" w:hAnsi="宋体" w:cs="宋体"/>
                <w:kern w:val="0"/>
                <w:sz w:val="24"/>
                <w:szCs w:val="24"/>
              </w:rPr>
              <w:t>　</w:t>
            </w:r>
          </w:p>
        </w:tc>
        <w:tc>
          <w:tcPr>
            <w:tcW w:w="1418" w:type="dxa"/>
            <w:tcBorders>
              <w:top w:val="nil"/>
              <w:left w:val="nil"/>
              <w:bottom w:val="single" w:color="auto" w:sz="4" w:space="0"/>
              <w:right w:val="single" w:color="auto" w:sz="4" w:space="0"/>
            </w:tcBorders>
            <w:noWrap w:val="0"/>
            <w:vAlign w:val="center"/>
          </w:tcPr>
          <w:p w14:paraId="201BBB56">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62A504BB">
            <w:pPr>
              <w:widowControl/>
              <w:jc w:val="center"/>
              <w:rPr>
                <w:rFonts w:hint="eastAsia" w:ascii="宋体" w:cs="宋体"/>
                <w:kern w:val="0"/>
                <w:sz w:val="24"/>
                <w:szCs w:val="24"/>
              </w:rPr>
            </w:pPr>
            <w:r>
              <w:rPr>
                <w:rFonts w:hint="eastAsia" w:ascii="宋体" w:hAnsi="宋体" w:cs="宋体"/>
                <w:kern w:val="0"/>
                <w:sz w:val="24"/>
                <w:szCs w:val="24"/>
              </w:rPr>
              <w:t>　</w:t>
            </w:r>
          </w:p>
        </w:tc>
        <w:tc>
          <w:tcPr>
            <w:tcW w:w="1417" w:type="dxa"/>
            <w:tcBorders>
              <w:top w:val="nil"/>
              <w:left w:val="nil"/>
              <w:bottom w:val="single" w:color="auto" w:sz="4" w:space="0"/>
              <w:right w:val="single" w:color="auto" w:sz="4" w:space="0"/>
            </w:tcBorders>
            <w:noWrap w:val="0"/>
            <w:vAlign w:val="center"/>
          </w:tcPr>
          <w:p w14:paraId="211BDEC9">
            <w:pPr>
              <w:widowControl/>
              <w:jc w:val="center"/>
              <w:rPr>
                <w:rFonts w:hint="eastAsia" w:ascii="宋体" w:cs="宋体"/>
                <w:kern w:val="0"/>
                <w:sz w:val="24"/>
                <w:szCs w:val="24"/>
              </w:rPr>
            </w:pPr>
            <w:r>
              <w:rPr>
                <w:rFonts w:hint="eastAsia" w:ascii="宋体" w:hAnsi="宋体" w:cs="宋体"/>
                <w:kern w:val="0"/>
                <w:sz w:val="24"/>
                <w:szCs w:val="24"/>
              </w:rPr>
              <w:t>　</w:t>
            </w:r>
          </w:p>
        </w:tc>
        <w:tc>
          <w:tcPr>
            <w:tcW w:w="992" w:type="dxa"/>
            <w:tcBorders>
              <w:top w:val="nil"/>
              <w:left w:val="nil"/>
              <w:bottom w:val="single" w:color="auto" w:sz="4" w:space="0"/>
              <w:right w:val="single" w:color="auto" w:sz="4" w:space="0"/>
            </w:tcBorders>
            <w:noWrap w:val="0"/>
            <w:vAlign w:val="center"/>
          </w:tcPr>
          <w:p w14:paraId="624356FC">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06509662">
            <w:pPr>
              <w:widowControl/>
              <w:jc w:val="center"/>
              <w:rPr>
                <w:rFonts w:hint="eastAsia" w:ascii="宋体" w:cs="宋体"/>
                <w:kern w:val="0"/>
                <w:sz w:val="24"/>
                <w:szCs w:val="24"/>
              </w:rPr>
            </w:pPr>
            <w:r>
              <w:rPr>
                <w:rFonts w:hint="eastAsia" w:ascii="宋体" w:hAnsi="宋体" w:cs="宋体"/>
                <w:kern w:val="0"/>
                <w:sz w:val="24"/>
                <w:szCs w:val="24"/>
              </w:rPr>
              <w:t>　</w:t>
            </w:r>
          </w:p>
        </w:tc>
        <w:tc>
          <w:tcPr>
            <w:tcW w:w="1559" w:type="dxa"/>
            <w:tcBorders>
              <w:top w:val="nil"/>
              <w:left w:val="nil"/>
              <w:bottom w:val="single" w:color="auto" w:sz="4" w:space="0"/>
              <w:right w:val="single" w:color="auto" w:sz="4" w:space="0"/>
            </w:tcBorders>
            <w:noWrap w:val="0"/>
            <w:vAlign w:val="center"/>
          </w:tcPr>
          <w:p w14:paraId="04C517D3">
            <w:pPr>
              <w:widowControl/>
              <w:jc w:val="center"/>
              <w:rPr>
                <w:rFonts w:hint="eastAsia" w:ascii="宋体" w:cs="宋体"/>
                <w:kern w:val="0"/>
                <w:sz w:val="24"/>
                <w:szCs w:val="24"/>
              </w:rPr>
            </w:pPr>
            <w:r>
              <w:rPr>
                <w:rFonts w:hint="eastAsia" w:ascii="宋体" w:hAnsi="宋体" w:cs="宋体"/>
                <w:kern w:val="0"/>
                <w:sz w:val="24"/>
                <w:szCs w:val="24"/>
              </w:rPr>
              <w:t>　</w:t>
            </w:r>
          </w:p>
        </w:tc>
        <w:tc>
          <w:tcPr>
            <w:tcW w:w="1874" w:type="dxa"/>
            <w:tcBorders>
              <w:top w:val="nil"/>
              <w:left w:val="nil"/>
              <w:bottom w:val="single" w:color="auto" w:sz="4" w:space="0"/>
              <w:right w:val="single" w:color="auto" w:sz="4" w:space="0"/>
            </w:tcBorders>
            <w:noWrap w:val="0"/>
            <w:vAlign w:val="center"/>
          </w:tcPr>
          <w:p w14:paraId="146419B5">
            <w:pPr>
              <w:widowControl/>
              <w:jc w:val="center"/>
              <w:rPr>
                <w:rFonts w:hint="eastAsia" w:ascii="宋体" w:cs="宋体"/>
                <w:kern w:val="0"/>
                <w:sz w:val="24"/>
                <w:szCs w:val="24"/>
              </w:rPr>
            </w:pPr>
            <w:r>
              <w:rPr>
                <w:rFonts w:hint="eastAsia" w:ascii="宋体" w:hAnsi="宋体" w:cs="宋体"/>
                <w:kern w:val="0"/>
                <w:sz w:val="24"/>
                <w:szCs w:val="24"/>
              </w:rPr>
              <w:t>　</w:t>
            </w:r>
          </w:p>
        </w:tc>
        <w:tc>
          <w:tcPr>
            <w:tcW w:w="1612" w:type="dxa"/>
            <w:tcBorders>
              <w:top w:val="nil"/>
              <w:left w:val="nil"/>
              <w:bottom w:val="single" w:color="auto" w:sz="4" w:space="0"/>
              <w:right w:val="single" w:color="auto" w:sz="4" w:space="0"/>
            </w:tcBorders>
            <w:noWrap w:val="0"/>
            <w:vAlign w:val="center"/>
          </w:tcPr>
          <w:p w14:paraId="046944BA">
            <w:pPr>
              <w:widowControl/>
              <w:jc w:val="center"/>
              <w:rPr>
                <w:rFonts w:hint="eastAsia" w:ascii="宋体" w:cs="宋体"/>
                <w:kern w:val="0"/>
                <w:sz w:val="24"/>
                <w:szCs w:val="24"/>
              </w:rPr>
            </w:pPr>
            <w:r>
              <w:rPr>
                <w:rFonts w:hint="eastAsia" w:ascii="宋体" w:hAnsi="宋体" w:cs="宋体"/>
                <w:kern w:val="0"/>
                <w:sz w:val="24"/>
                <w:szCs w:val="24"/>
              </w:rPr>
              <w:t>　</w:t>
            </w:r>
          </w:p>
        </w:tc>
      </w:tr>
      <w:tr w14:paraId="2E6ED85B">
        <w:tblPrEx>
          <w:tblCellMar>
            <w:top w:w="0" w:type="dxa"/>
            <w:left w:w="108" w:type="dxa"/>
            <w:bottom w:w="0" w:type="dxa"/>
            <w:right w:w="108" w:type="dxa"/>
          </w:tblCellMar>
        </w:tblPrEx>
        <w:trPr>
          <w:trHeight w:val="499" w:hRule="atLeast"/>
          <w:jc w:val="center"/>
        </w:trPr>
        <w:tc>
          <w:tcPr>
            <w:tcW w:w="444" w:type="dxa"/>
            <w:tcBorders>
              <w:top w:val="nil"/>
              <w:left w:val="single" w:color="auto" w:sz="4" w:space="0"/>
              <w:bottom w:val="single" w:color="auto" w:sz="4" w:space="0"/>
              <w:right w:val="single" w:color="auto" w:sz="4" w:space="0"/>
            </w:tcBorders>
            <w:noWrap w:val="0"/>
            <w:vAlign w:val="center"/>
          </w:tcPr>
          <w:p w14:paraId="56978064">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1AAAE470">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4F3F5560">
            <w:pPr>
              <w:widowControl/>
              <w:jc w:val="center"/>
              <w:rPr>
                <w:rFonts w:hint="eastAsia" w:ascii="宋体" w:cs="宋体"/>
                <w:kern w:val="0"/>
                <w:sz w:val="24"/>
                <w:szCs w:val="24"/>
              </w:rPr>
            </w:pPr>
            <w:r>
              <w:rPr>
                <w:rFonts w:hint="eastAsia" w:ascii="宋体" w:hAnsi="宋体" w:cs="宋体"/>
                <w:kern w:val="0"/>
                <w:sz w:val="24"/>
                <w:szCs w:val="24"/>
              </w:rPr>
              <w:t>　</w:t>
            </w:r>
          </w:p>
        </w:tc>
        <w:tc>
          <w:tcPr>
            <w:tcW w:w="1275" w:type="dxa"/>
            <w:tcBorders>
              <w:top w:val="nil"/>
              <w:left w:val="nil"/>
              <w:bottom w:val="single" w:color="auto" w:sz="4" w:space="0"/>
              <w:right w:val="single" w:color="auto" w:sz="4" w:space="0"/>
            </w:tcBorders>
            <w:noWrap w:val="0"/>
            <w:vAlign w:val="center"/>
          </w:tcPr>
          <w:p w14:paraId="2BF935C6">
            <w:pPr>
              <w:widowControl/>
              <w:jc w:val="center"/>
              <w:rPr>
                <w:rFonts w:hint="eastAsia" w:ascii="宋体" w:cs="宋体"/>
                <w:kern w:val="0"/>
                <w:sz w:val="24"/>
                <w:szCs w:val="24"/>
              </w:rPr>
            </w:pPr>
            <w:r>
              <w:rPr>
                <w:rFonts w:hint="eastAsia" w:ascii="宋体" w:hAnsi="宋体" w:cs="宋体"/>
                <w:kern w:val="0"/>
                <w:sz w:val="24"/>
                <w:szCs w:val="24"/>
              </w:rPr>
              <w:t>　</w:t>
            </w:r>
          </w:p>
        </w:tc>
        <w:tc>
          <w:tcPr>
            <w:tcW w:w="1418" w:type="dxa"/>
            <w:tcBorders>
              <w:top w:val="nil"/>
              <w:left w:val="nil"/>
              <w:bottom w:val="single" w:color="auto" w:sz="4" w:space="0"/>
              <w:right w:val="single" w:color="auto" w:sz="4" w:space="0"/>
            </w:tcBorders>
            <w:noWrap w:val="0"/>
            <w:vAlign w:val="center"/>
          </w:tcPr>
          <w:p w14:paraId="66DE00BC">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6B1742CC">
            <w:pPr>
              <w:widowControl/>
              <w:jc w:val="center"/>
              <w:rPr>
                <w:rFonts w:hint="eastAsia" w:ascii="宋体" w:cs="宋体"/>
                <w:kern w:val="0"/>
                <w:sz w:val="24"/>
                <w:szCs w:val="24"/>
              </w:rPr>
            </w:pPr>
            <w:r>
              <w:rPr>
                <w:rFonts w:hint="eastAsia" w:ascii="宋体" w:hAnsi="宋体" w:cs="宋体"/>
                <w:kern w:val="0"/>
                <w:sz w:val="24"/>
                <w:szCs w:val="24"/>
              </w:rPr>
              <w:t>　</w:t>
            </w:r>
          </w:p>
        </w:tc>
        <w:tc>
          <w:tcPr>
            <w:tcW w:w="1417" w:type="dxa"/>
            <w:tcBorders>
              <w:top w:val="nil"/>
              <w:left w:val="nil"/>
              <w:bottom w:val="single" w:color="auto" w:sz="4" w:space="0"/>
              <w:right w:val="single" w:color="auto" w:sz="4" w:space="0"/>
            </w:tcBorders>
            <w:noWrap w:val="0"/>
            <w:vAlign w:val="center"/>
          </w:tcPr>
          <w:p w14:paraId="2D75B6E5">
            <w:pPr>
              <w:widowControl/>
              <w:jc w:val="center"/>
              <w:rPr>
                <w:rFonts w:hint="eastAsia" w:ascii="宋体" w:cs="宋体"/>
                <w:kern w:val="0"/>
                <w:sz w:val="24"/>
                <w:szCs w:val="24"/>
              </w:rPr>
            </w:pPr>
            <w:r>
              <w:rPr>
                <w:rFonts w:hint="eastAsia" w:ascii="宋体" w:hAnsi="宋体" w:cs="宋体"/>
                <w:kern w:val="0"/>
                <w:sz w:val="24"/>
                <w:szCs w:val="24"/>
              </w:rPr>
              <w:t>　</w:t>
            </w:r>
          </w:p>
        </w:tc>
        <w:tc>
          <w:tcPr>
            <w:tcW w:w="992" w:type="dxa"/>
            <w:tcBorders>
              <w:top w:val="nil"/>
              <w:left w:val="nil"/>
              <w:bottom w:val="single" w:color="auto" w:sz="4" w:space="0"/>
              <w:right w:val="single" w:color="auto" w:sz="4" w:space="0"/>
            </w:tcBorders>
            <w:noWrap w:val="0"/>
            <w:vAlign w:val="center"/>
          </w:tcPr>
          <w:p w14:paraId="301D347D">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62A3235C">
            <w:pPr>
              <w:widowControl/>
              <w:jc w:val="center"/>
              <w:rPr>
                <w:rFonts w:hint="eastAsia" w:ascii="宋体" w:cs="宋体"/>
                <w:kern w:val="0"/>
                <w:sz w:val="24"/>
                <w:szCs w:val="24"/>
              </w:rPr>
            </w:pPr>
            <w:r>
              <w:rPr>
                <w:rFonts w:hint="eastAsia" w:ascii="宋体" w:hAnsi="宋体" w:cs="宋体"/>
                <w:kern w:val="0"/>
                <w:sz w:val="24"/>
                <w:szCs w:val="24"/>
              </w:rPr>
              <w:t>　</w:t>
            </w:r>
          </w:p>
        </w:tc>
        <w:tc>
          <w:tcPr>
            <w:tcW w:w="1559" w:type="dxa"/>
            <w:tcBorders>
              <w:top w:val="nil"/>
              <w:left w:val="nil"/>
              <w:bottom w:val="single" w:color="auto" w:sz="4" w:space="0"/>
              <w:right w:val="single" w:color="auto" w:sz="4" w:space="0"/>
            </w:tcBorders>
            <w:noWrap w:val="0"/>
            <w:vAlign w:val="center"/>
          </w:tcPr>
          <w:p w14:paraId="7B301387">
            <w:pPr>
              <w:widowControl/>
              <w:jc w:val="center"/>
              <w:rPr>
                <w:rFonts w:hint="eastAsia" w:ascii="宋体" w:cs="宋体"/>
                <w:kern w:val="0"/>
                <w:sz w:val="24"/>
                <w:szCs w:val="24"/>
              </w:rPr>
            </w:pPr>
            <w:r>
              <w:rPr>
                <w:rFonts w:hint="eastAsia" w:ascii="宋体" w:hAnsi="宋体" w:cs="宋体"/>
                <w:kern w:val="0"/>
                <w:sz w:val="24"/>
                <w:szCs w:val="24"/>
              </w:rPr>
              <w:t>　</w:t>
            </w:r>
          </w:p>
        </w:tc>
        <w:tc>
          <w:tcPr>
            <w:tcW w:w="1874" w:type="dxa"/>
            <w:tcBorders>
              <w:top w:val="nil"/>
              <w:left w:val="nil"/>
              <w:bottom w:val="single" w:color="auto" w:sz="4" w:space="0"/>
              <w:right w:val="single" w:color="auto" w:sz="4" w:space="0"/>
            </w:tcBorders>
            <w:noWrap w:val="0"/>
            <w:vAlign w:val="center"/>
          </w:tcPr>
          <w:p w14:paraId="41340D1C">
            <w:pPr>
              <w:widowControl/>
              <w:jc w:val="center"/>
              <w:rPr>
                <w:rFonts w:hint="eastAsia" w:ascii="宋体" w:cs="宋体"/>
                <w:kern w:val="0"/>
                <w:sz w:val="24"/>
                <w:szCs w:val="24"/>
              </w:rPr>
            </w:pPr>
            <w:r>
              <w:rPr>
                <w:rFonts w:hint="eastAsia" w:ascii="宋体" w:hAnsi="宋体" w:cs="宋体"/>
                <w:kern w:val="0"/>
                <w:sz w:val="24"/>
                <w:szCs w:val="24"/>
              </w:rPr>
              <w:t>　</w:t>
            </w:r>
          </w:p>
        </w:tc>
        <w:tc>
          <w:tcPr>
            <w:tcW w:w="1612" w:type="dxa"/>
            <w:tcBorders>
              <w:top w:val="nil"/>
              <w:left w:val="nil"/>
              <w:bottom w:val="single" w:color="auto" w:sz="4" w:space="0"/>
              <w:right w:val="single" w:color="auto" w:sz="4" w:space="0"/>
            </w:tcBorders>
            <w:noWrap w:val="0"/>
            <w:vAlign w:val="center"/>
          </w:tcPr>
          <w:p w14:paraId="7722368A">
            <w:pPr>
              <w:widowControl/>
              <w:jc w:val="center"/>
              <w:rPr>
                <w:rFonts w:hint="eastAsia" w:ascii="宋体" w:cs="宋体"/>
                <w:kern w:val="0"/>
                <w:sz w:val="24"/>
                <w:szCs w:val="24"/>
              </w:rPr>
            </w:pPr>
            <w:r>
              <w:rPr>
                <w:rFonts w:hint="eastAsia" w:ascii="宋体" w:hAnsi="宋体" w:cs="宋体"/>
                <w:kern w:val="0"/>
                <w:sz w:val="24"/>
                <w:szCs w:val="24"/>
              </w:rPr>
              <w:t>　</w:t>
            </w:r>
          </w:p>
        </w:tc>
      </w:tr>
      <w:tr w14:paraId="5F01D328">
        <w:trPr>
          <w:trHeight w:val="499" w:hRule="atLeast"/>
          <w:jc w:val="center"/>
        </w:trPr>
        <w:tc>
          <w:tcPr>
            <w:tcW w:w="444" w:type="dxa"/>
            <w:tcBorders>
              <w:top w:val="nil"/>
              <w:left w:val="single" w:color="auto" w:sz="4" w:space="0"/>
              <w:bottom w:val="single" w:color="auto" w:sz="4" w:space="0"/>
              <w:right w:val="single" w:color="auto" w:sz="4" w:space="0"/>
            </w:tcBorders>
            <w:noWrap w:val="0"/>
            <w:vAlign w:val="center"/>
          </w:tcPr>
          <w:p w14:paraId="7C4FFF8D">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069B3FE4">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082417EF">
            <w:pPr>
              <w:widowControl/>
              <w:jc w:val="center"/>
              <w:rPr>
                <w:rFonts w:hint="eastAsia" w:ascii="宋体" w:cs="宋体"/>
                <w:kern w:val="0"/>
                <w:sz w:val="24"/>
                <w:szCs w:val="24"/>
              </w:rPr>
            </w:pPr>
            <w:r>
              <w:rPr>
                <w:rFonts w:hint="eastAsia" w:ascii="宋体" w:hAnsi="宋体" w:cs="宋体"/>
                <w:kern w:val="0"/>
                <w:sz w:val="24"/>
                <w:szCs w:val="24"/>
              </w:rPr>
              <w:t>　</w:t>
            </w:r>
          </w:p>
        </w:tc>
        <w:tc>
          <w:tcPr>
            <w:tcW w:w="1275" w:type="dxa"/>
            <w:tcBorders>
              <w:top w:val="nil"/>
              <w:left w:val="nil"/>
              <w:bottom w:val="single" w:color="auto" w:sz="4" w:space="0"/>
              <w:right w:val="single" w:color="auto" w:sz="4" w:space="0"/>
            </w:tcBorders>
            <w:noWrap w:val="0"/>
            <w:vAlign w:val="center"/>
          </w:tcPr>
          <w:p w14:paraId="3803623A">
            <w:pPr>
              <w:widowControl/>
              <w:jc w:val="center"/>
              <w:rPr>
                <w:rFonts w:hint="eastAsia" w:ascii="宋体" w:cs="宋体"/>
                <w:kern w:val="0"/>
                <w:sz w:val="24"/>
                <w:szCs w:val="24"/>
              </w:rPr>
            </w:pPr>
            <w:r>
              <w:rPr>
                <w:rFonts w:hint="eastAsia" w:ascii="宋体" w:hAnsi="宋体" w:cs="宋体"/>
                <w:kern w:val="0"/>
                <w:sz w:val="24"/>
                <w:szCs w:val="24"/>
              </w:rPr>
              <w:t>　</w:t>
            </w:r>
          </w:p>
        </w:tc>
        <w:tc>
          <w:tcPr>
            <w:tcW w:w="1418" w:type="dxa"/>
            <w:tcBorders>
              <w:top w:val="nil"/>
              <w:left w:val="nil"/>
              <w:bottom w:val="single" w:color="auto" w:sz="4" w:space="0"/>
              <w:right w:val="single" w:color="auto" w:sz="4" w:space="0"/>
            </w:tcBorders>
            <w:noWrap w:val="0"/>
            <w:vAlign w:val="center"/>
          </w:tcPr>
          <w:p w14:paraId="25040182">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36C2B721">
            <w:pPr>
              <w:widowControl/>
              <w:jc w:val="center"/>
              <w:rPr>
                <w:rFonts w:hint="eastAsia" w:ascii="宋体" w:cs="宋体"/>
                <w:kern w:val="0"/>
                <w:sz w:val="24"/>
                <w:szCs w:val="24"/>
              </w:rPr>
            </w:pPr>
            <w:r>
              <w:rPr>
                <w:rFonts w:hint="eastAsia" w:ascii="宋体" w:hAnsi="宋体" w:cs="宋体"/>
                <w:kern w:val="0"/>
                <w:sz w:val="24"/>
                <w:szCs w:val="24"/>
              </w:rPr>
              <w:t>　</w:t>
            </w:r>
          </w:p>
        </w:tc>
        <w:tc>
          <w:tcPr>
            <w:tcW w:w="1417" w:type="dxa"/>
            <w:tcBorders>
              <w:top w:val="nil"/>
              <w:left w:val="nil"/>
              <w:bottom w:val="single" w:color="auto" w:sz="4" w:space="0"/>
              <w:right w:val="single" w:color="auto" w:sz="4" w:space="0"/>
            </w:tcBorders>
            <w:noWrap w:val="0"/>
            <w:vAlign w:val="center"/>
          </w:tcPr>
          <w:p w14:paraId="1FF81AC1">
            <w:pPr>
              <w:widowControl/>
              <w:jc w:val="center"/>
              <w:rPr>
                <w:rFonts w:hint="eastAsia" w:ascii="宋体" w:cs="宋体"/>
                <w:kern w:val="0"/>
                <w:sz w:val="24"/>
                <w:szCs w:val="24"/>
              </w:rPr>
            </w:pPr>
            <w:r>
              <w:rPr>
                <w:rFonts w:hint="eastAsia" w:ascii="宋体" w:hAnsi="宋体" w:cs="宋体"/>
                <w:kern w:val="0"/>
                <w:sz w:val="24"/>
                <w:szCs w:val="24"/>
              </w:rPr>
              <w:t>　</w:t>
            </w:r>
          </w:p>
        </w:tc>
        <w:tc>
          <w:tcPr>
            <w:tcW w:w="992" w:type="dxa"/>
            <w:tcBorders>
              <w:top w:val="nil"/>
              <w:left w:val="nil"/>
              <w:bottom w:val="single" w:color="auto" w:sz="4" w:space="0"/>
              <w:right w:val="single" w:color="auto" w:sz="4" w:space="0"/>
            </w:tcBorders>
            <w:noWrap w:val="0"/>
            <w:vAlign w:val="center"/>
          </w:tcPr>
          <w:p w14:paraId="033D2B72">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249AFEDB">
            <w:pPr>
              <w:widowControl/>
              <w:jc w:val="center"/>
              <w:rPr>
                <w:rFonts w:hint="eastAsia" w:ascii="宋体" w:cs="宋体"/>
                <w:kern w:val="0"/>
                <w:sz w:val="24"/>
                <w:szCs w:val="24"/>
              </w:rPr>
            </w:pPr>
            <w:r>
              <w:rPr>
                <w:rFonts w:hint="eastAsia" w:ascii="宋体" w:hAnsi="宋体" w:cs="宋体"/>
                <w:kern w:val="0"/>
                <w:sz w:val="24"/>
                <w:szCs w:val="24"/>
              </w:rPr>
              <w:t>　</w:t>
            </w:r>
          </w:p>
        </w:tc>
        <w:tc>
          <w:tcPr>
            <w:tcW w:w="1559" w:type="dxa"/>
            <w:tcBorders>
              <w:top w:val="nil"/>
              <w:left w:val="nil"/>
              <w:bottom w:val="single" w:color="auto" w:sz="4" w:space="0"/>
              <w:right w:val="single" w:color="auto" w:sz="4" w:space="0"/>
            </w:tcBorders>
            <w:noWrap w:val="0"/>
            <w:vAlign w:val="center"/>
          </w:tcPr>
          <w:p w14:paraId="414494EA">
            <w:pPr>
              <w:widowControl/>
              <w:jc w:val="center"/>
              <w:rPr>
                <w:rFonts w:hint="eastAsia" w:ascii="宋体" w:cs="宋体"/>
                <w:kern w:val="0"/>
                <w:sz w:val="24"/>
                <w:szCs w:val="24"/>
              </w:rPr>
            </w:pPr>
            <w:r>
              <w:rPr>
                <w:rFonts w:hint="eastAsia" w:ascii="宋体" w:hAnsi="宋体" w:cs="宋体"/>
                <w:kern w:val="0"/>
                <w:sz w:val="24"/>
                <w:szCs w:val="24"/>
              </w:rPr>
              <w:t>　</w:t>
            </w:r>
          </w:p>
        </w:tc>
        <w:tc>
          <w:tcPr>
            <w:tcW w:w="1874" w:type="dxa"/>
            <w:tcBorders>
              <w:top w:val="nil"/>
              <w:left w:val="nil"/>
              <w:bottom w:val="single" w:color="auto" w:sz="4" w:space="0"/>
              <w:right w:val="single" w:color="auto" w:sz="4" w:space="0"/>
            </w:tcBorders>
            <w:noWrap w:val="0"/>
            <w:vAlign w:val="center"/>
          </w:tcPr>
          <w:p w14:paraId="7AB74D33">
            <w:pPr>
              <w:widowControl/>
              <w:jc w:val="center"/>
              <w:rPr>
                <w:rFonts w:hint="eastAsia" w:ascii="宋体" w:cs="宋体"/>
                <w:kern w:val="0"/>
                <w:sz w:val="24"/>
                <w:szCs w:val="24"/>
              </w:rPr>
            </w:pPr>
            <w:r>
              <w:rPr>
                <w:rFonts w:hint="eastAsia" w:ascii="宋体" w:hAnsi="宋体" w:cs="宋体"/>
                <w:kern w:val="0"/>
                <w:sz w:val="24"/>
                <w:szCs w:val="24"/>
              </w:rPr>
              <w:t>　</w:t>
            </w:r>
          </w:p>
        </w:tc>
        <w:tc>
          <w:tcPr>
            <w:tcW w:w="1612" w:type="dxa"/>
            <w:tcBorders>
              <w:top w:val="nil"/>
              <w:left w:val="nil"/>
              <w:bottom w:val="single" w:color="auto" w:sz="4" w:space="0"/>
              <w:right w:val="single" w:color="auto" w:sz="4" w:space="0"/>
            </w:tcBorders>
            <w:noWrap w:val="0"/>
            <w:vAlign w:val="center"/>
          </w:tcPr>
          <w:p w14:paraId="40AF2A49">
            <w:pPr>
              <w:widowControl/>
              <w:jc w:val="center"/>
              <w:rPr>
                <w:rFonts w:hint="eastAsia" w:ascii="宋体" w:cs="宋体"/>
                <w:kern w:val="0"/>
                <w:sz w:val="24"/>
                <w:szCs w:val="24"/>
              </w:rPr>
            </w:pPr>
            <w:r>
              <w:rPr>
                <w:rFonts w:hint="eastAsia" w:ascii="宋体" w:hAnsi="宋体" w:cs="宋体"/>
                <w:kern w:val="0"/>
                <w:sz w:val="24"/>
                <w:szCs w:val="24"/>
              </w:rPr>
              <w:t>　</w:t>
            </w:r>
          </w:p>
        </w:tc>
      </w:tr>
      <w:tr w14:paraId="042A9F3A">
        <w:tblPrEx>
          <w:tblCellMar>
            <w:top w:w="0" w:type="dxa"/>
            <w:left w:w="108" w:type="dxa"/>
            <w:bottom w:w="0" w:type="dxa"/>
            <w:right w:w="108" w:type="dxa"/>
          </w:tblCellMar>
        </w:tblPrEx>
        <w:trPr>
          <w:trHeight w:val="499" w:hRule="atLeast"/>
          <w:jc w:val="center"/>
        </w:trPr>
        <w:tc>
          <w:tcPr>
            <w:tcW w:w="444" w:type="dxa"/>
            <w:tcBorders>
              <w:top w:val="nil"/>
              <w:left w:val="single" w:color="auto" w:sz="4" w:space="0"/>
              <w:bottom w:val="single" w:color="auto" w:sz="4" w:space="0"/>
              <w:right w:val="single" w:color="auto" w:sz="4" w:space="0"/>
            </w:tcBorders>
            <w:noWrap w:val="0"/>
            <w:vAlign w:val="center"/>
          </w:tcPr>
          <w:p w14:paraId="3F8EA06D">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79B1E538">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38E4CE71">
            <w:pPr>
              <w:widowControl/>
              <w:jc w:val="center"/>
              <w:rPr>
                <w:rFonts w:hint="eastAsia" w:ascii="宋体" w:cs="宋体"/>
                <w:kern w:val="0"/>
                <w:sz w:val="24"/>
                <w:szCs w:val="24"/>
              </w:rPr>
            </w:pPr>
            <w:r>
              <w:rPr>
                <w:rFonts w:hint="eastAsia" w:ascii="宋体" w:hAnsi="宋体" w:cs="宋体"/>
                <w:kern w:val="0"/>
                <w:sz w:val="24"/>
                <w:szCs w:val="24"/>
              </w:rPr>
              <w:t>　</w:t>
            </w:r>
          </w:p>
        </w:tc>
        <w:tc>
          <w:tcPr>
            <w:tcW w:w="1275" w:type="dxa"/>
            <w:tcBorders>
              <w:top w:val="nil"/>
              <w:left w:val="nil"/>
              <w:bottom w:val="single" w:color="auto" w:sz="4" w:space="0"/>
              <w:right w:val="single" w:color="auto" w:sz="4" w:space="0"/>
            </w:tcBorders>
            <w:noWrap w:val="0"/>
            <w:vAlign w:val="center"/>
          </w:tcPr>
          <w:p w14:paraId="4A1B9F8E">
            <w:pPr>
              <w:widowControl/>
              <w:jc w:val="center"/>
              <w:rPr>
                <w:rFonts w:hint="eastAsia" w:ascii="宋体" w:cs="宋体"/>
                <w:kern w:val="0"/>
                <w:sz w:val="24"/>
                <w:szCs w:val="24"/>
              </w:rPr>
            </w:pPr>
            <w:r>
              <w:rPr>
                <w:rFonts w:hint="eastAsia" w:ascii="宋体" w:hAnsi="宋体" w:cs="宋体"/>
                <w:kern w:val="0"/>
                <w:sz w:val="24"/>
                <w:szCs w:val="24"/>
              </w:rPr>
              <w:t>　</w:t>
            </w:r>
          </w:p>
        </w:tc>
        <w:tc>
          <w:tcPr>
            <w:tcW w:w="1418" w:type="dxa"/>
            <w:tcBorders>
              <w:top w:val="nil"/>
              <w:left w:val="nil"/>
              <w:bottom w:val="single" w:color="auto" w:sz="4" w:space="0"/>
              <w:right w:val="single" w:color="auto" w:sz="4" w:space="0"/>
            </w:tcBorders>
            <w:noWrap w:val="0"/>
            <w:vAlign w:val="center"/>
          </w:tcPr>
          <w:p w14:paraId="5CCC2686">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3C2C2A42">
            <w:pPr>
              <w:widowControl/>
              <w:jc w:val="center"/>
              <w:rPr>
                <w:rFonts w:hint="eastAsia" w:ascii="宋体" w:cs="宋体"/>
                <w:kern w:val="0"/>
                <w:sz w:val="24"/>
                <w:szCs w:val="24"/>
              </w:rPr>
            </w:pPr>
            <w:r>
              <w:rPr>
                <w:rFonts w:hint="eastAsia" w:ascii="宋体" w:hAnsi="宋体" w:cs="宋体"/>
                <w:kern w:val="0"/>
                <w:sz w:val="24"/>
                <w:szCs w:val="24"/>
              </w:rPr>
              <w:t>　</w:t>
            </w:r>
          </w:p>
        </w:tc>
        <w:tc>
          <w:tcPr>
            <w:tcW w:w="1417" w:type="dxa"/>
            <w:tcBorders>
              <w:top w:val="nil"/>
              <w:left w:val="nil"/>
              <w:bottom w:val="single" w:color="auto" w:sz="4" w:space="0"/>
              <w:right w:val="single" w:color="auto" w:sz="4" w:space="0"/>
            </w:tcBorders>
            <w:noWrap w:val="0"/>
            <w:vAlign w:val="center"/>
          </w:tcPr>
          <w:p w14:paraId="3CD60B36">
            <w:pPr>
              <w:widowControl/>
              <w:jc w:val="center"/>
              <w:rPr>
                <w:rFonts w:hint="eastAsia" w:ascii="宋体" w:cs="宋体"/>
                <w:kern w:val="0"/>
                <w:sz w:val="24"/>
                <w:szCs w:val="24"/>
              </w:rPr>
            </w:pPr>
            <w:r>
              <w:rPr>
                <w:rFonts w:hint="eastAsia" w:ascii="宋体" w:hAnsi="宋体" w:cs="宋体"/>
                <w:kern w:val="0"/>
                <w:sz w:val="24"/>
                <w:szCs w:val="24"/>
              </w:rPr>
              <w:t>　</w:t>
            </w:r>
          </w:p>
        </w:tc>
        <w:tc>
          <w:tcPr>
            <w:tcW w:w="992" w:type="dxa"/>
            <w:tcBorders>
              <w:top w:val="nil"/>
              <w:left w:val="nil"/>
              <w:bottom w:val="single" w:color="auto" w:sz="4" w:space="0"/>
              <w:right w:val="single" w:color="auto" w:sz="4" w:space="0"/>
            </w:tcBorders>
            <w:noWrap w:val="0"/>
            <w:vAlign w:val="center"/>
          </w:tcPr>
          <w:p w14:paraId="170D8D98">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3DB997F5">
            <w:pPr>
              <w:widowControl/>
              <w:jc w:val="center"/>
              <w:rPr>
                <w:rFonts w:hint="eastAsia" w:ascii="宋体" w:cs="宋体"/>
                <w:kern w:val="0"/>
                <w:sz w:val="24"/>
                <w:szCs w:val="24"/>
              </w:rPr>
            </w:pPr>
            <w:r>
              <w:rPr>
                <w:rFonts w:hint="eastAsia" w:ascii="宋体" w:hAnsi="宋体" w:cs="宋体"/>
                <w:kern w:val="0"/>
                <w:sz w:val="24"/>
                <w:szCs w:val="24"/>
              </w:rPr>
              <w:t>　</w:t>
            </w:r>
          </w:p>
        </w:tc>
        <w:tc>
          <w:tcPr>
            <w:tcW w:w="1559" w:type="dxa"/>
            <w:tcBorders>
              <w:top w:val="nil"/>
              <w:left w:val="nil"/>
              <w:bottom w:val="single" w:color="auto" w:sz="4" w:space="0"/>
              <w:right w:val="single" w:color="auto" w:sz="4" w:space="0"/>
            </w:tcBorders>
            <w:noWrap w:val="0"/>
            <w:vAlign w:val="center"/>
          </w:tcPr>
          <w:p w14:paraId="7431AEDF">
            <w:pPr>
              <w:widowControl/>
              <w:jc w:val="center"/>
              <w:rPr>
                <w:rFonts w:hint="eastAsia" w:ascii="宋体" w:cs="宋体"/>
                <w:kern w:val="0"/>
                <w:sz w:val="24"/>
                <w:szCs w:val="24"/>
              </w:rPr>
            </w:pPr>
            <w:r>
              <w:rPr>
                <w:rFonts w:hint="eastAsia" w:ascii="宋体" w:hAnsi="宋体" w:cs="宋体"/>
                <w:kern w:val="0"/>
                <w:sz w:val="24"/>
                <w:szCs w:val="24"/>
              </w:rPr>
              <w:t>　</w:t>
            </w:r>
          </w:p>
        </w:tc>
        <w:tc>
          <w:tcPr>
            <w:tcW w:w="1874" w:type="dxa"/>
            <w:tcBorders>
              <w:top w:val="nil"/>
              <w:left w:val="nil"/>
              <w:bottom w:val="single" w:color="auto" w:sz="4" w:space="0"/>
              <w:right w:val="single" w:color="auto" w:sz="4" w:space="0"/>
            </w:tcBorders>
            <w:noWrap w:val="0"/>
            <w:vAlign w:val="center"/>
          </w:tcPr>
          <w:p w14:paraId="5564E38F">
            <w:pPr>
              <w:widowControl/>
              <w:jc w:val="center"/>
              <w:rPr>
                <w:rFonts w:hint="eastAsia" w:ascii="宋体" w:cs="宋体"/>
                <w:kern w:val="0"/>
                <w:sz w:val="24"/>
                <w:szCs w:val="24"/>
              </w:rPr>
            </w:pPr>
            <w:r>
              <w:rPr>
                <w:rFonts w:hint="eastAsia" w:ascii="宋体" w:hAnsi="宋体" w:cs="宋体"/>
                <w:kern w:val="0"/>
                <w:sz w:val="24"/>
                <w:szCs w:val="24"/>
              </w:rPr>
              <w:t>　</w:t>
            </w:r>
          </w:p>
        </w:tc>
        <w:tc>
          <w:tcPr>
            <w:tcW w:w="1612" w:type="dxa"/>
            <w:tcBorders>
              <w:top w:val="nil"/>
              <w:left w:val="nil"/>
              <w:bottom w:val="single" w:color="auto" w:sz="4" w:space="0"/>
              <w:right w:val="single" w:color="auto" w:sz="4" w:space="0"/>
            </w:tcBorders>
            <w:noWrap w:val="0"/>
            <w:vAlign w:val="center"/>
          </w:tcPr>
          <w:p w14:paraId="5135B507">
            <w:pPr>
              <w:widowControl/>
              <w:jc w:val="center"/>
              <w:rPr>
                <w:rFonts w:hint="eastAsia" w:ascii="宋体" w:cs="宋体"/>
                <w:kern w:val="0"/>
                <w:sz w:val="24"/>
                <w:szCs w:val="24"/>
              </w:rPr>
            </w:pPr>
            <w:r>
              <w:rPr>
                <w:rFonts w:hint="eastAsia" w:ascii="宋体" w:hAnsi="宋体" w:cs="宋体"/>
                <w:kern w:val="0"/>
                <w:sz w:val="24"/>
                <w:szCs w:val="24"/>
              </w:rPr>
              <w:t>　</w:t>
            </w:r>
          </w:p>
        </w:tc>
      </w:tr>
      <w:tr w14:paraId="0808D310">
        <w:tblPrEx>
          <w:tblCellMar>
            <w:top w:w="0" w:type="dxa"/>
            <w:left w:w="108" w:type="dxa"/>
            <w:bottom w:w="0" w:type="dxa"/>
            <w:right w:w="108" w:type="dxa"/>
          </w:tblCellMar>
        </w:tblPrEx>
        <w:trPr>
          <w:trHeight w:val="499" w:hRule="atLeast"/>
          <w:jc w:val="center"/>
        </w:trPr>
        <w:tc>
          <w:tcPr>
            <w:tcW w:w="444" w:type="dxa"/>
            <w:tcBorders>
              <w:top w:val="nil"/>
              <w:left w:val="single" w:color="auto" w:sz="4" w:space="0"/>
              <w:bottom w:val="single" w:color="auto" w:sz="4" w:space="0"/>
              <w:right w:val="single" w:color="auto" w:sz="4" w:space="0"/>
            </w:tcBorders>
            <w:noWrap w:val="0"/>
            <w:vAlign w:val="center"/>
          </w:tcPr>
          <w:p w14:paraId="4DBED2B6">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7EEA0DBB">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5F380661">
            <w:pPr>
              <w:widowControl/>
              <w:jc w:val="center"/>
              <w:rPr>
                <w:rFonts w:hint="eastAsia" w:ascii="宋体" w:cs="宋体"/>
                <w:kern w:val="0"/>
                <w:sz w:val="24"/>
                <w:szCs w:val="24"/>
              </w:rPr>
            </w:pPr>
            <w:r>
              <w:rPr>
                <w:rFonts w:hint="eastAsia" w:ascii="宋体" w:hAnsi="宋体" w:cs="宋体"/>
                <w:kern w:val="0"/>
                <w:sz w:val="24"/>
                <w:szCs w:val="24"/>
              </w:rPr>
              <w:t>　</w:t>
            </w:r>
          </w:p>
        </w:tc>
        <w:tc>
          <w:tcPr>
            <w:tcW w:w="1275" w:type="dxa"/>
            <w:tcBorders>
              <w:top w:val="nil"/>
              <w:left w:val="nil"/>
              <w:bottom w:val="single" w:color="auto" w:sz="4" w:space="0"/>
              <w:right w:val="single" w:color="auto" w:sz="4" w:space="0"/>
            </w:tcBorders>
            <w:noWrap w:val="0"/>
            <w:vAlign w:val="center"/>
          </w:tcPr>
          <w:p w14:paraId="306EE235">
            <w:pPr>
              <w:widowControl/>
              <w:jc w:val="center"/>
              <w:rPr>
                <w:rFonts w:hint="eastAsia" w:ascii="宋体" w:cs="宋体"/>
                <w:kern w:val="0"/>
                <w:sz w:val="24"/>
                <w:szCs w:val="24"/>
              </w:rPr>
            </w:pPr>
            <w:r>
              <w:rPr>
                <w:rFonts w:hint="eastAsia" w:ascii="宋体" w:hAnsi="宋体" w:cs="宋体"/>
                <w:kern w:val="0"/>
                <w:sz w:val="24"/>
                <w:szCs w:val="24"/>
              </w:rPr>
              <w:t>　</w:t>
            </w:r>
          </w:p>
        </w:tc>
        <w:tc>
          <w:tcPr>
            <w:tcW w:w="1418" w:type="dxa"/>
            <w:tcBorders>
              <w:top w:val="nil"/>
              <w:left w:val="nil"/>
              <w:bottom w:val="single" w:color="auto" w:sz="4" w:space="0"/>
              <w:right w:val="single" w:color="auto" w:sz="4" w:space="0"/>
            </w:tcBorders>
            <w:noWrap w:val="0"/>
            <w:vAlign w:val="center"/>
          </w:tcPr>
          <w:p w14:paraId="7595D33E">
            <w:pPr>
              <w:widowControl/>
              <w:jc w:val="center"/>
              <w:rPr>
                <w:rFonts w:hint="eastAsia" w:ascii="宋体" w:cs="宋体"/>
                <w:kern w:val="0"/>
                <w:sz w:val="24"/>
                <w:szCs w:val="24"/>
              </w:rPr>
            </w:pPr>
            <w:r>
              <w:rPr>
                <w:rFonts w:hint="eastAsia" w:ascii="宋体" w:hAnsi="宋体" w:cs="宋体"/>
                <w:kern w:val="0"/>
                <w:sz w:val="24"/>
                <w:szCs w:val="24"/>
              </w:rPr>
              <w:t>　</w:t>
            </w:r>
          </w:p>
        </w:tc>
        <w:tc>
          <w:tcPr>
            <w:tcW w:w="1276" w:type="dxa"/>
            <w:tcBorders>
              <w:top w:val="nil"/>
              <w:left w:val="nil"/>
              <w:bottom w:val="single" w:color="auto" w:sz="4" w:space="0"/>
              <w:right w:val="single" w:color="auto" w:sz="4" w:space="0"/>
            </w:tcBorders>
            <w:noWrap w:val="0"/>
            <w:vAlign w:val="center"/>
          </w:tcPr>
          <w:p w14:paraId="043DA19D">
            <w:pPr>
              <w:widowControl/>
              <w:jc w:val="center"/>
              <w:rPr>
                <w:rFonts w:hint="eastAsia" w:ascii="宋体" w:cs="宋体"/>
                <w:kern w:val="0"/>
                <w:sz w:val="24"/>
                <w:szCs w:val="24"/>
              </w:rPr>
            </w:pPr>
            <w:r>
              <w:rPr>
                <w:rFonts w:hint="eastAsia" w:ascii="宋体" w:hAnsi="宋体" w:cs="宋体"/>
                <w:kern w:val="0"/>
                <w:sz w:val="24"/>
                <w:szCs w:val="24"/>
              </w:rPr>
              <w:t>　</w:t>
            </w:r>
          </w:p>
        </w:tc>
        <w:tc>
          <w:tcPr>
            <w:tcW w:w="1417" w:type="dxa"/>
            <w:tcBorders>
              <w:top w:val="nil"/>
              <w:left w:val="nil"/>
              <w:bottom w:val="single" w:color="auto" w:sz="4" w:space="0"/>
              <w:right w:val="single" w:color="auto" w:sz="4" w:space="0"/>
            </w:tcBorders>
            <w:noWrap w:val="0"/>
            <w:vAlign w:val="center"/>
          </w:tcPr>
          <w:p w14:paraId="169D645A">
            <w:pPr>
              <w:widowControl/>
              <w:jc w:val="center"/>
              <w:rPr>
                <w:rFonts w:hint="eastAsia" w:ascii="宋体" w:cs="宋体"/>
                <w:kern w:val="0"/>
                <w:sz w:val="24"/>
                <w:szCs w:val="24"/>
              </w:rPr>
            </w:pPr>
            <w:r>
              <w:rPr>
                <w:rFonts w:hint="eastAsia" w:ascii="宋体" w:hAnsi="宋体" w:cs="宋体"/>
                <w:kern w:val="0"/>
                <w:sz w:val="24"/>
                <w:szCs w:val="24"/>
              </w:rPr>
              <w:t>　</w:t>
            </w:r>
          </w:p>
        </w:tc>
        <w:tc>
          <w:tcPr>
            <w:tcW w:w="992" w:type="dxa"/>
            <w:tcBorders>
              <w:top w:val="nil"/>
              <w:left w:val="nil"/>
              <w:bottom w:val="single" w:color="auto" w:sz="4" w:space="0"/>
              <w:right w:val="single" w:color="auto" w:sz="4" w:space="0"/>
            </w:tcBorders>
            <w:noWrap w:val="0"/>
            <w:vAlign w:val="center"/>
          </w:tcPr>
          <w:p w14:paraId="0B045D11">
            <w:pPr>
              <w:widowControl/>
              <w:jc w:val="center"/>
              <w:rPr>
                <w:rFonts w:hint="eastAsia" w:ascii="宋体" w:cs="宋体"/>
                <w:kern w:val="0"/>
                <w:sz w:val="24"/>
                <w:szCs w:val="24"/>
              </w:rPr>
            </w:pPr>
            <w:r>
              <w:rPr>
                <w:rFonts w:hint="eastAsia" w:ascii="宋体" w:hAnsi="宋体" w:cs="宋体"/>
                <w:kern w:val="0"/>
                <w:sz w:val="24"/>
                <w:szCs w:val="24"/>
              </w:rPr>
              <w:t>　</w:t>
            </w:r>
          </w:p>
        </w:tc>
        <w:tc>
          <w:tcPr>
            <w:tcW w:w="993" w:type="dxa"/>
            <w:tcBorders>
              <w:top w:val="nil"/>
              <w:left w:val="nil"/>
              <w:bottom w:val="single" w:color="auto" w:sz="4" w:space="0"/>
              <w:right w:val="single" w:color="auto" w:sz="4" w:space="0"/>
            </w:tcBorders>
            <w:noWrap w:val="0"/>
            <w:vAlign w:val="center"/>
          </w:tcPr>
          <w:p w14:paraId="359088D1">
            <w:pPr>
              <w:widowControl/>
              <w:jc w:val="center"/>
              <w:rPr>
                <w:rFonts w:hint="eastAsia" w:ascii="宋体" w:cs="宋体"/>
                <w:kern w:val="0"/>
                <w:sz w:val="24"/>
                <w:szCs w:val="24"/>
              </w:rPr>
            </w:pPr>
            <w:r>
              <w:rPr>
                <w:rFonts w:hint="eastAsia" w:ascii="宋体" w:hAnsi="宋体" w:cs="宋体"/>
                <w:kern w:val="0"/>
                <w:sz w:val="24"/>
                <w:szCs w:val="24"/>
              </w:rPr>
              <w:t>　</w:t>
            </w:r>
          </w:p>
        </w:tc>
        <w:tc>
          <w:tcPr>
            <w:tcW w:w="1559" w:type="dxa"/>
            <w:tcBorders>
              <w:top w:val="nil"/>
              <w:left w:val="nil"/>
              <w:bottom w:val="single" w:color="auto" w:sz="4" w:space="0"/>
              <w:right w:val="single" w:color="auto" w:sz="4" w:space="0"/>
            </w:tcBorders>
            <w:noWrap w:val="0"/>
            <w:vAlign w:val="center"/>
          </w:tcPr>
          <w:p w14:paraId="539634D0">
            <w:pPr>
              <w:widowControl/>
              <w:jc w:val="center"/>
              <w:rPr>
                <w:rFonts w:hint="eastAsia" w:ascii="宋体" w:cs="宋体"/>
                <w:kern w:val="0"/>
                <w:sz w:val="24"/>
                <w:szCs w:val="24"/>
              </w:rPr>
            </w:pPr>
            <w:r>
              <w:rPr>
                <w:rFonts w:hint="eastAsia" w:ascii="宋体" w:hAnsi="宋体" w:cs="宋体"/>
                <w:kern w:val="0"/>
                <w:sz w:val="24"/>
                <w:szCs w:val="24"/>
              </w:rPr>
              <w:t>　</w:t>
            </w:r>
          </w:p>
        </w:tc>
        <w:tc>
          <w:tcPr>
            <w:tcW w:w="1874" w:type="dxa"/>
            <w:tcBorders>
              <w:top w:val="nil"/>
              <w:left w:val="nil"/>
              <w:bottom w:val="single" w:color="auto" w:sz="4" w:space="0"/>
              <w:right w:val="single" w:color="auto" w:sz="4" w:space="0"/>
            </w:tcBorders>
            <w:noWrap w:val="0"/>
            <w:vAlign w:val="center"/>
          </w:tcPr>
          <w:p w14:paraId="5ACE1983">
            <w:pPr>
              <w:widowControl/>
              <w:jc w:val="center"/>
              <w:rPr>
                <w:rFonts w:hint="eastAsia" w:ascii="宋体" w:cs="宋体"/>
                <w:kern w:val="0"/>
                <w:sz w:val="24"/>
                <w:szCs w:val="24"/>
              </w:rPr>
            </w:pPr>
            <w:r>
              <w:rPr>
                <w:rFonts w:hint="eastAsia" w:ascii="宋体" w:hAnsi="宋体" w:cs="宋体"/>
                <w:kern w:val="0"/>
                <w:sz w:val="24"/>
                <w:szCs w:val="24"/>
              </w:rPr>
              <w:t>　</w:t>
            </w:r>
          </w:p>
        </w:tc>
        <w:tc>
          <w:tcPr>
            <w:tcW w:w="1612" w:type="dxa"/>
            <w:tcBorders>
              <w:top w:val="nil"/>
              <w:left w:val="nil"/>
              <w:bottom w:val="single" w:color="auto" w:sz="4" w:space="0"/>
              <w:right w:val="single" w:color="auto" w:sz="4" w:space="0"/>
            </w:tcBorders>
            <w:noWrap w:val="0"/>
            <w:vAlign w:val="center"/>
          </w:tcPr>
          <w:p w14:paraId="640B6405">
            <w:pPr>
              <w:widowControl/>
              <w:jc w:val="center"/>
              <w:rPr>
                <w:rFonts w:hint="eastAsia" w:ascii="宋体" w:cs="宋体"/>
                <w:kern w:val="0"/>
                <w:sz w:val="24"/>
                <w:szCs w:val="24"/>
              </w:rPr>
            </w:pPr>
            <w:r>
              <w:rPr>
                <w:rFonts w:hint="eastAsia" w:ascii="宋体" w:hAnsi="宋体" w:cs="宋体"/>
                <w:kern w:val="0"/>
                <w:sz w:val="24"/>
                <w:szCs w:val="24"/>
              </w:rPr>
              <w:t>　</w:t>
            </w:r>
          </w:p>
        </w:tc>
      </w:tr>
      <w:tr w14:paraId="56B43529">
        <w:tblPrEx>
          <w:tblCellMar>
            <w:top w:w="0" w:type="dxa"/>
            <w:left w:w="108" w:type="dxa"/>
            <w:bottom w:w="0" w:type="dxa"/>
            <w:right w:w="108" w:type="dxa"/>
          </w:tblCellMar>
        </w:tblPrEx>
        <w:trPr>
          <w:trHeight w:val="1399" w:hRule="atLeast"/>
          <w:jc w:val="center"/>
        </w:trPr>
        <w:tc>
          <w:tcPr>
            <w:tcW w:w="444" w:type="dxa"/>
            <w:tcBorders>
              <w:top w:val="single" w:color="auto" w:sz="4" w:space="0"/>
              <w:left w:val="single" w:color="auto" w:sz="4" w:space="0"/>
              <w:bottom w:val="single" w:color="auto" w:sz="4" w:space="0"/>
              <w:right w:val="single" w:color="auto" w:sz="4" w:space="0"/>
            </w:tcBorders>
            <w:noWrap w:val="0"/>
            <w:vAlign w:val="center"/>
          </w:tcPr>
          <w:p w14:paraId="0D6E9B3C">
            <w:pPr>
              <w:widowControl/>
              <w:jc w:val="center"/>
              <w:rPr>
                <w:rFonts w:hint="eastAsia" w:ascii="宋体" w:hAnsi="宋体" w:eastAsia="宋体" w:cs="宋体"/>
                <w:kern w:val="0"/>
                <w:sz w:val="24"/>
                <w:szCs w:val="24"/>
                <w:lang w:eastAsia="zh-CN"/>
              </w:rPr>
            </w:pPr>
            <w:r>
              <w:rPr>
                <w:rFonts w:hint="eastAsia" w:ascii="宋体" w:hAnsi="宋体" w:cs="宋体"/>
                <w:kern w:val="0"/>
                <w:sz w:val="21"/>
                <w:szCs w:val="21"/>
                <w:lang w:eastAsia="zh-CN"/>
              </w:rPr>
              <w:t>填表说明</w:t>
            </w:r>
          </w:p>
        </w:tc>
        <w:tc>
          <w:tcPr>
            <w:tcW w:w="14685" w:type="dxa"/>
            <w:gridSpan w:val="11"/>
            <w:tcBorders>
              <w:top w:val="single" w:color="auto" w:sz="4" w:space="0"/>
              <w:left w:val="single" w:color="auto" w:sz="4" w:space="0"/>
              <w:bottom w:val="single" w:color="auto" w:sz="4" w:space="0"/>
              <w:right w:val="single" w:color="auto" w:sz="4" w:space="0"/>
            </w:tcBorders>
            <w:noWrap w:val="0"/>
            <w:vAlign w:val="center"/>
          </w:tcPr>
          <w:p w14:paraId="6957B9ED">
            <w:pPr>
              <w:widowControl/>
              <w:jc w:val="left"/>
              <w:rPr>
                <w:rFonts w:hint="eastAsia" w:ascii="宋体" w:hAnsi="宋体" w:cs="宋体"/>
                <w:kern w:val="0"/>
                <w:sz w:val="24"/>
                <w:szCs w:val="24"/>
              </w:rPr>
            </w:pPr>
            <w:r>
              <w:rPr>
                <w:rFonts w:hint="eastAsia" w:ascii="宋体" w:hAnsi="宋体" w:cs="宋体"/>
                <w:kern w:val="0"/>
                <w:sz w:val="24"/>
                <w:szCs w:val="24"/>
              </w:rPr>
              <w:t>1.</w:t>
            </w:r>
            <w:r>
              <w:rPr>
                <w:rFonts w:hint="eastAsia" w:ascii="宋体" w:hAnsi="宋体" w:cs="宋体"/>
                <w:b/>
                <w:bCs/>
                <w:kern w:val="0"/>
                <w:sz w:val="24"/>
                <w:szCs w:val="24"/>
              </w:rPr>
              <w:t>填写范围为三级医院、二级医院、具有医疗美容科的医院、专门的医疗美容机构和口腔门诊部。</w:t>
            </w:r>
            <w:r>
              <w:rPr>
                <w:rFonts w:hint="eastAsia" w:ascii="宋体" w:hAnsi="宋体" w:cs="宋体"/>
                <w:kern w:val="0"/>
                <w:sz w:val="24"/>
                <w:szCs w:val="24"/>
              </w:rPr>
              <w:t>其余类别的医疗器械使用单位不填写。</w:t>
            </w:r>
          </w:p>
          <w:p w14:paraId="4551CDF6">
            <w:pPr>
              <w:widowControl/>
              <w:jc w:val="left"/>
              <w:rPr>
                <w:rFonts w:hint="eastAsia" w:ascii="宋体" w:hAnsi="宋体" w:cs="宋体"/>
                <w:kern w:val="0"/>
                <w:sz w:val="24"/>
                <w:szCs w:val="24"/>
              </w:rPr>
            </w:pPr>
            <w:r>
              <w:rPr>
                <w:rFonts w:hint="eastAsia" w:ascii="宋体" w:hAnsi="宋体" w:cs="宋体"/>
                <w:kern w:val="0"/>
                <w:sz w:val="24"/>
                <w:szCs w:val="24"/>
              </w:rPr>
              <w:t>2.经济类型：公立或民营。</w:t>
            </w:r>
          </w:p>
        </w:tc>
      </w:tr>
    </w:tbl>
    <w:p w14:paraId="4698321F">
      <w:pPr>
        <w:tabs>
          <w:tab w:val="left" w:pos="7513"/>
        </w:tabs>
        <w:spacing w:line="380" w:lineRule="exact"/>
        <w:ind w:firstLine="720" w:firstLineChars="300"/>
        <w:rPr>
          <w:rFonts w:hint="default" w:ascii="仿宋_GB2312" w:hAnsi="宋体" w:eastAsia="仿宋_GB2312" w:cs="宋体"/>
          <w:kern w:val="0"/>
          <w:sz w:val="24"/>
          <w:szCs w:val="24"/>
          <w:lang w:val="en-US" w:eastAsia="zh-CN"/>
        </w:rPr>
        <w:sectPr>
          <w:pgSz w:w="16838" w:h="11906" w:orient="landscape"/>
          <w:pgMar w:top="1588" w:right="2098" w:bottom="1474" w:left="1985" w:header="851" w:footer="1077" w:gutter="0"/>
          <w:cols w:space="720" w:num="1"/>
          <w:docGrid w:linePitch="312" w:charSpace="0"/>
        </w:sectPr>
      </w:pPr>
    </w:p>
    <w:p w14:paraId="132E5F78">
      <w:pPr>
        <w:widowControl/>
        <w:spacing w:line="560" w:lineRule="exact"/>
        <w:jc w:val="left"/>
        <w:rPr>
          <w:rFonts w:hint="eastAsia" w:ascii="黑体" w:hAnsi="黑体" w:eastAsia="黑体"/>
          <w:sz w:val="32"/>
          <w:szCs w:val="20"/>
          <w:lang w:eastAsia="zh-CN"/>
        </w:rPr>
      </w:pPr>
      <w:r>
        <w:rPr>
          <w:rFonts w:hint="eastAsia" w:ascii="黑体" w:hAnsi="黑体" w:eastAsia="黑体"/>
          <w:sz w:val="32"/>
          <w:szCs w:val="20"/>
        </w:rPr>
        <w:t>附件</w:t>
      </w:r>
      <w:r>
        <w:rPr>
          <w:rFonts w:hint="eastAsia" w:ascii="黑体" w:hAnsi="黑体" w:eastAsia="黑体"/>
          <w:sz w:val="32"/>
          <w:szCs w:val="20"/>
          <w:lang w:val="en-US" w:eastAsia="zh-CN"/>
        </w:rPr>
        <w:t>4</w:t>
      </w:r>
    </w:p>
    <w:p w14:paraId="7C3A0F56">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医疗器械经营企业统计表</w:t>
      </w:r>
    </w:p>
    <w:p w14:paraId="2CB6C641">
      <w:pPr>
        <w:ind w:firstLine="480" w:firstLineChars="200"/>
        <w:rPr>
          <w:rFonts w:hint="eastAsia" w:ascii="宋体" w:hAnsi="宋体" w:eastAsia="宋体" w:cs="宋体"/>
          <w:sz w:val="28"/>
          <w:szCs w:val="28"/>
        </w:rPr>
      </w:pPr>
      <w:r>
        <w:rPr>
          <w:rFonts w:hint="eastAsia" w:ascii="宋体" w:hAnsi="宋体" w:eastAsia="宋体" w:cs="宋体"/>
          <w:sz w:val="24"/>
          <w:szCs w:val="24"/>
        </w:rPr>
        <w:t>填表单位：</w:t>
      </w:r>
    </w:p>
    <w:tbl>
      <w:tblPr>
        <w:tblStyle w:val="13"/>
        <w:tblW w:w="8237" w:type="dxa"/>
        <w:jc w:val="center"/>
        <w:tblLayout w:type="fixed"/>
        <w:tblCellMar>
          <w:top w:w="0" w:type="dxa"/>
          <w:left w:w="108" w:type="dxa"/>
          <w:bottom w:w="0" w:type="dxa"/>
          <w:right w:w="108" w:type="dxa"/>
        </w:tblCellMar>
      </w:tblPr>
      <w:tblGrid>
        <w:gridCol w:w="1798"/>
        <w:gridCol w:w="3320"/>
        <w:gridCol w:w="3119"/>
      </w:tblGrid>
      <w:tr w14:paraId="058710BF">
        <w:tblPrEx>
          <w:tblCellMar>
            <w:top w:w="0" w:type="dxa"/>
            <w:left w:w="108" w:type="dxa"/>
            <w:bottom w:w="0" w:type="dxa"/>
            <w:right w:w="108" w:type="dxa"/>
          </w:tblCellMar>
        </w:tblPrEx>
        <w:trPr>
          <w:trHeight w:val="510" w:hRule="atLeast"/>
          <w:jc w:val="center"/>
        </w:trPr>
        <w:tc>
          <w:tcPr>
            <w:tcW w:w="5118" w:type="dxa"/>
            <w:gridSpan w:val="2"/>
            <w:tcBorders>
              <w:top w:val="single" w:color="auto" w:sz="4" w:space="0"/>
              <w:left w:val="single" w:color="auto" w:sz="4" w:space="0"/>
              <w:bottom w:val="single" w:color="000000" w:sz="4" w:space="0"/>
              <w:right w:val="single" w:color="auto" w:sz="4" w:space="0"/>
            </w:tcBorders>
            <w:noWrap w:val="0"/>
            <w:vAlign w:val="center"/>
          </w:tcPr>
          <w:p w14:paraId="0BF7717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医疗器械经营企业总数</w:t>
            </w:r>
          </w:p>
        </w:tc>
        <w:tc>
          <w:tcPr>
            <w:tcW w:w="3119" w:type="dxa"/>
            <w:tcBorders>
              <w:top w:val="single" w:color="auto" w:sz="4" w:space="0"/>
              <w:left w:val="nil"/>
              <w:bottom w:val="single" w:color="auto" w:sz="4" w:space="0"/>
              <w:right w:val="single" w:color="auto" w:sz="4" w:space="0"/>
            </w:tcBorders>
            <w:noWrap w:val="0"/>
            <w:vAlign w:val="bottom"/>
          </w:tcPr>
          <w:p w14:paraId="1E40940D">
            <w:pPr>
              <w:widowControl/>
              <w:spacing w:line="500" w:lineRule="exact"/>
              <w:jc w:val="left"/>
              <w:rPr>
                <w:rFonts w:hint="eastAsia" w:ascii="仿宋_GB2312" w:eastAsia="仿宋_GB2312" w:cs="宋体"/>
                <w:kern w:val="0"/>
                <w:sz w:val="22"/>
              </w:rPr>
            </w:pPr>
          </w:p>
        </w:tc>
      </w:tr>
      <w:tr w14:paraId="5750872F">
        <w:tblPrEx>
          <w:tblCellMar>
            <w:top w:w="0" w:type="dxa"/>
            <w:left w:w="108" w:type="dxa"/>
            <w:bottom w:w="0" w:type="dxa"/>
            <w:right w:w="108" w:type="dxa"/>
          </w:tblCellMar>
        </w:tblPrEx>
        <w:trPr>
          <w:trHeight w:val="510" w:hRule="atLeast"/>
          <w:jc w:val="center"/>
        </w:trPr>
        <w:tc>
          <w:tcPr>
            <w:tcW w:w="1798" w:type="dxa"/>
            <w:vMerge w:val="restart"/>
            <w:tcBorders>
              <w:top w:val="single" w:color="auto" w:sz="4" w:space="0"/>
              <w:left w:val="single" w:color="auto" w:sz="4" w:space="0"/>
              <w:bottom w:val="single" w:color="000000" w:sz="4" w:space="0"/>
              <w:right w:val="single" w:color="auto" w:sz="4" w:space="0"/>
            </w:tcBorders>
            <w:noWrap w:val="0"/>
            <w:vAlign w:val="center"/>
          </w:tcPr>
          <w:p w14:paraId="602183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按类别分</w:t>
            </w:r>
          </w:p>
        </w:tc>
        <w:tc>
          <w:tcPr>
            <w:tcW w:w="3320" w:type="dxa"/>
            <w:tcBorders>
              <w:top w:val="single" w:color="auto" w:sz="4" w:space="0"/>
              <w:left w:val="nil"/>
              <w:bottom w:val="single" w:color="auto" w:sz="4" w:space="0"/>
              <w:right w:val="single" w:color="auto" w:sz="4" w:space="0"/>
            </w:tcBorders>
            <w:noWrap w:val="0"/>
            <w:vAlign w:val="center"/>
          </w:tcPr>
          <w:p w14:paraId="1294F36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二类企业</w:t>
            </w:r>
          </w:p>
        </w:tc>
        <w:tc>
          <w:tcPr>
            <w:tcW w:w="3119" w:type="dxa"/>
            <w:tcBorders>
              <w:top w:val="single" w:color="auto" w:sz="4" w:space="0"/>
              <w:left w:val="nil"/>
              <w:bottom w:val="single" w:color="auto" w:sz="4" w:space="0"/>
              <w:right w:val="single" w:color="auto" w:sz="4" w:space="0"/>
            </w:tcBorders>
            <w:noWrap w:val="0"/>
            <w:vAlign w:val="bottom"/>
          </w:tcPr>
          <w:p w14:paraId="4F746B3F">
            <w:pPr>
              <w:widowControl/>
              <w:spacing w:line="500" w:lineRule="exact"/>
              <w:jc w:val="left"/>
              <w:rPr>
                <w:rFonts w:hint="eastAsia" w:ascii="仿宋_GB2312" w:eastAsia="仿宋_GB2312" w:cs="宋体"/>
                <w:kern w:val="0"/>
                <w:sz w:val="22"/>
              </w:rPr>
            </w:pPr>
          </w:p>
        </w:tc>
      </w:tr>
      <w:tr w14:paraId="4068E9E5">
        <w:tblPrEx>
          <w:tblCellMar>
            <w:top w:w="0" w:type="dxa"/>
            <w:left w:w="108" w:type="dxa"/>
            <w:bottom w:w="0" w:type="dxa"/>
            <w:right w:w="108" w:type="dxa"/>
          </w:tblCellMar>
        </w:tblPrEx>
        <w:trPr>
          <w:trHeight w:val="510" w:hRule="atLeast"/>
          <w:jc w:val="center"/>
        </w:trPr>
        <w:tc>
          <w:tcPr>
            <w:tcW w:w="1798" w:type="dxa"/>
            <w:vMerge w:val="continue"/>
            <w:tcBorders>
              <w:top w:val="single" w:color="auto" w:sz="4" w:space="0"/>
              <w:left w:val="single" w:color="auto" w:sz="4" w:space="0"/>
              <w:bottom w:val="single" w:color="000000" w:sz="4" w:space="0"/>
              <w:right w:val="single" w:color="auto" w:sz="4" w:space="0"/>
            </w:tcBorders>
            <w:noWrap w:val="0"/>
            <w:vAlign w:val="center"/>
          </w:tcPr>
          <w:p w14:paraId="31A3F41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368CC0E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三类企业</w:t>
            </w:r>
          </w:p>
        </w:tc>
        <w:tc>
          <w:tcPr>
            <w:tcW w:w="3119" w:type="dxa"/>
            <w:tcBorders>
              <w:top w:val="nil"/>
              <w:left w:val="nil"/>
              <w:bottom w:val="single" w:color="auto" w:sz="4" w:space="0"/>
              <w:right w:val="single" w:color="auto" w:sz="4" w:space="0"/>
            </w:tcBorders>
            <w:noWrap w:val="0"/>
            <w:vAlign w:val="bottom"/>
          </w:tcPr>
          <w:p w14:paraId="59C798C6">
            <w:pPr>
              <w:widowControl/>
              <w:spacing w:line="500" w:lineRule="exact"/>
              <w:jc w:val="left"/>
              <w:rPr>
                <w:rFonts w:hint="eastAsia" w:ascii="仿宋_GB2312" w:eastAsia="仿宋_GB2312" w:cs="宋体"/>
                <w:kern w:val="0"/>
                <w:sz w:val="22"/>
              </w:rPr>
            </w:pPr>
          </w:p>
        </w:tc>
      </w:tr>
      <w:tr w14:paraId="01955521">
        <w:tblPrEx>
          <w:tblCellMar>
            <w:top w:w="0" w:type="dxa"/>
            <w:left w:w="108" w:type="dxa"/>
            <w:bottom w:w="0" w:type="dxa"/>
            <w:right w:w="108" w:type="dxa"/>
          </w:tblCellMar>
        </w:tblPrEx>
        <w:trPr>
          <w:trHeight w:val="510" w:hRule="atLeast"/>
          <w:jc w:val="center"/>
        </w:trPr>
        <w:tc>
          <w:tcPr>
            <w:tcW w:w="1798" w:type="dxa"/>
            <w:vMerge w:val="continue"/>
            <w:tcBorders>
              <w:top w:val="single" w:color="auto" w:sz="4" w:space="0"/>
              <w:left w:val="single" w:color="auto" w:sz="4" w:space="0"/>
              <w:bottom w:val="single" w:color="000000" w:sz="4" w:space="0"/>
              <w:right w:val="single" w:color="auto" w:sz="4" w:space="0"/>
            </w:tcBorders>
            <w:noWrap w:val="0"/>
            <w:vAlign w:val="center"/>
          </w:tcPr>
          <w:p w14:paraId="43F7BA7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2A2DCF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二、三类兼营企业</w:t>
            </w:r>
          </w:p>
        </w:tc>
        <w:tc>
          <w:tcPr>
            <w:tcW w:w="3119" w:type="dxa"/>
            <w:tcBorders>
              <w:top w:val="nil"/>
              <w:left w:val="nil"/>
              <w:bottom w:val="single" w:color="auto" w:sz="4" w:space="0"/>
              <w:right w:val="single" w:color="auto" w:sz="4" w:space="0"/>
            </w:tcBorders>
            <w:noWrap w:val="0"/>
            <w:vAlign w:val="bottom"/>
          </w:tcPr>
          <w:p w14:paraId="5D754649">
            <w:pPr>
              <w:widowControl/>
              <w:spacing w:line="500" w:lineRule="exact"/>
              <w:jc w:val="left"/>
              <w:rPr>
                <w:rFonts w:hint="eastAsia" w:ascii="仿宋_GB2312" w:eastAsia="仿宋_GB2312" w:cs="宋体"/>
                <w:kern w:val="0"/>
                <w:sz w:val="22"/>
              </w:rPr>
            </w:pPr>
          </w:p>
        </w:tc>
      </w:tr>
      <w:tr w14:paraId="1F3AD2B6">
        <w:tblPrEx>
          <w:tblCellMar>
            <w:top w:w="0" w:type="dxa"/>
            <w:left w:w="108" w:type="dxa"/>
            <w:bottom w:w="0" w:type="dxa"/>
            <w:right w:w="108" w:type="dxa"/>
          </w:tblCellMar>
        </w:tblPrEx>
        <w:trPr>
          <w:trHeight w:val="510" w:hRule="atLeast"/>
          <w:jc w:val="center"/>
        </w:trPr>
        <w:tc>
          <w:tcPr>
            <w:tcW w:w="1798" w:type="dxa"/>
            <w:vMerge w:val="restart"/>
            <w:tcBorders>
              <w:top w:val="nil"/>
              <w:left w:val="single" w:color="auto" w:sz="4" w:space="0"/>
              <w:right w:val="single" w:color="auto" w:sz="4" w:space="0"/>
            </w:tcBorders>
            <w:noWrap w:val="0"/>
            <w:vAlign w:val="center"/>
          </w:tcPr>
          <w:p w14:paraId="5D63684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经营方式</w:t>
            </w:r>
          </w:p>
        </w:tc>
        <w:tc>
          <w:tcPr>
            <w:tcW w:w="3320" w:type="dxa"/>
            <w:tcBorders>
              <w:top w:val="nil"/>
              <w:left w:val="nil"/>
              <w:bottom w:val="single" w:color="auto" w:sz="4" w:space="0"/>
              <w:right w:val="single" w:color="auto" w:sz="4" w:space="0"/>
            </w:tcBorders>
            <w:noWrap w:val="0"/>
            <w:vAlign w:val="center"/>
          </w:tcPr>
          <w:p w14:paraId="236BDBD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零售</w:t>
            </w:r>
          </w:p>
        </w:tc>
        <w:tc>
          <w:tcPr>
            <w:tcW w:w="3119" w:type="dxa"/>
            <w:tcBorders>
              <w:top w:val="nil"/>
              <w:left w:val="nil"/>
              <w:bottom w:val="single" w:color="auto" w:sz="4" w:space="0"/>
              <w:right w:val="single" w:color="auto" w:sz="4" w:space="0"/>
            </w:tcBorders>
            <w:noWrap w:val="0"/>
            <w:vAlign w:val="bottom"/>
          </w:tcPr>
          <w:p w14:paraId="3E45ED3C">
            <w:pPr>
              <w:widowControl/>
              <w:spacing w:line="500" w:lineRule="exact"/>
              <w:jc w:val="left"/>
              <w:rPr>
                <w:rFonts w:hint="eastAsia" w:ascii="仿宋_GB2312" w:eastAsia="仿宋_GB2312" w:cs="宋体"/>
                <w:kern w:val="0"/>
                <w:sz w:val="22"/>
              </w:rPr>
            </w:pPr>
          </w:p>
        </w:tc>
      </w:tr>
      <w:tr w14:paraId="113E726F">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5AFCBF1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4A35AE5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批发</w:t>
            </w:r>
          </w:p>
        </w:tc>
        <w:tc>
          <w:tcPr>
            <w:tcW w:w="3119" w:type="dxa"/>
            <w:tcBorders>
              <w:top w:val="nil"/>
              <w:left w:val="nil"/>
              <w:bottom w:val="single" w:color="auto" w:sz="4" w:space="0"/>
              <w:right w:val="single" w:color="auto" w:sz="4" w:space="0"/>
            </w:tcBorders>
            <w:noWrap w:val="0"/>
            <w:vAlign w:val="bottom"/>
          </w:tcPr>
          <w:p w14:paraId="1DDCE975">
            <w:pPr>
              <w:widowControl/>
              <w:spacing w:line="500" w:lineRule="exact"/>
              <w:jc w:val="left"/>
              <w:rPr>
                <w:rFonts w:hint="eastAsia" w:ascii="仿宋_GB2312" w:eastAsia="仿宋_GB2312" w:cs="宋体"/>
                <w:kern w:val="0"/>
                <w:sz w:val="22"/>
              </w:rPr>
            </w:pPr>
          </w:p>
        </w:tc>
      </w:tr>
      <w:tr w14:paraId="3F506B7B">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7959D53E">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73CFB8D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批零兼营</w:t>
            </w:r>
          </w:p>
        </w:tc>
        <w:tc>
          <w:tcPr>
            <w:tcW w:w="3119" w:type="dxa"/>
            <w:tcBorders>
              <w:top w:val="nil"/>
              <w:left w:val="nil"/>
              <w:bottom w:val="single" w:color="auto" w:sz="4" w:space="0"/>
              <w:right w:val="single" w:color="auto" w:sz="4" w:space="0"/>
            </w:tcBorders>
            <w:noWrap w:val="0"/>
            <w:vAlign w:val="bottom"/>
          </w:tcPr>
          <w:p w14:paraId="5C6C7ABD">
            <w:pPr>
              <w:widowControl/>
              <w:spacing w:line="500" w:lineRule="exact"/>
              <w:jc w:val="left"/>
              <w:rPr>
                <w:rFonts w:hint="eastAsia" w:ascii="仿宋_GB2312" w:eastAsia="仿宋_GB2312" w:cs="宋体"/>
                <w:kern w:val="0"/>
                <w:sz w:val="22"/>
              </w:rPr>
            </w:pPr>
          </w:p>
        </w:tc>
      </w:tr>
      <w:tr w14:paraId="619854FC">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bottom w:val="single" w:color="000000" w:sz="4" w:space="0"/>
              <w:right w:val="single" w:color="auto" w:sz="4" w:space="0"/>
            </w:tcBorders>
            <w:noWrap w:val="0"/>
            <w:vAlign w:val="center"/>
          </w:tcPr>
          <w:p w14:paraId="1722697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010253B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专门提供运输、贮存服务</w:t>
            </w:r>
          </w:p>
        </w:tc>
        <w:tc>
          <w:tcPr>
            <w:tcW w:w="3119" w:type="dxa"/>
            <w:tcBorders>
              <w:top w:val="nil"/>
              <w:left w:val="nil"/>
              <w:bottom w:val="single" w:color="auto" w:sz="4" w:space="0"/>
              <w:right w:val="single" w:color="auto" w:sz="4" w:space="0"/>
            </w:tcBorders>
            <w:noWrap w:val="0"/>
            <w:vAlign w:val="bottom"/>
          </w:tcPr>
          <w:p w14:paraId="0DD09F09">
            <w:pPr>
              <w:widowControl/>
              <w:spacing w:line="500" w:lineRule="exact"/>
              <w:jc w:val="left"/>
              <w:rPr>
                <w:rFonts w:hint="eastAsia" w:ascii="仿宋_GB2312" w:eastAsia="仿宋_GB2312" w:cs="宋体"/>
                <w:kern w:val="0"/>
                <w:sz w:val="22"/>
              </w:rPr>
            </w:pPr>
          </w:p>
        </w:tc>
      </w:tr>
      <w:tr w14:paraId="4A6CFCCE">
        <w:tblPrEx>
          <w:tblCellMar>
            <w:top w:w="0" w:type="dxa"/>
            <w:left w:w="108" w:type="dxa"/>
            <w:bottom w:w="0" w:type="dxa"/>
            <w:right w:w="108" w:type="dxa"/>
          </w:tblCellMar>
        </w:tblPrEx>
        <w:trPr>
          <w:trHeight w:val="510" w:hRule="atLeast"/>
          <w:jc w:val="center"/>
        </w:trPr>
        <w:tc>
          <w:tcPr>
            <w:tcW w:w="1798" w:type="dxa"/>
            <w:vMerge w:val="restart"/>
            <w:tcBorders>
              <w:top w:val="nil"/>
              <w:left w:val="single" w:color="auto" w:sz="4" w:space="0"/>
              <w:right w:val="single" w:color="auto" w:sz="4" w:space="0"/>
            </w:tcBorders>
            <w:noWrap w:val="0"/>
            <w:vAlign w:val="center"/>
          </w:tcPr>
          <w:p w14:paraId="7B8965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按经营范围分</w:t>
            </w:r>
          </w:p>
        </w:tc>
        <w:tc>
          <w:tcPr>
            <w:tcW w:w="3320" w:type="dxa"/>
            <w:tcBorders>
              <w:top w:val="nil"/>
              <w:left w:val="nil"/>
              <w:bottom w:val="single" w:color="auto" w:sz="4" w:space="0"/>
              <w:right w:val="single" w:color="auto" w:sz="4" w:space="0"/>
            </w:tcBorders>
            <w:noWrap w:val="0"/>
            <w:vAlign w:val="center"/>
          </w:tcPr>
          <w:p w14:paraId="30E277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体外诊断试剂</w:t>
            </w:r>
          </w:p>
        </w:tc>
        <w:tc>
          <w:tcPr>
            <w:tcW w:w="3119" w:type="dxa"/>
            <w:tcBorders>
              <w:top w:val="nil"/>
              <w:left w:val="nil"/>
              <w:bottom w:val="single" w:color="auto" w:sz="4" w:space="0"/>
              <w:right w:val="single" w:color="auto" w:sz="4" w:space="0"/>
            </w:tcBorders>
            <w:noWrap w:val="0"/>
            <w:vAlign w:val="bottom"/>
          </w:tcPr>
          <w:p w14:paraId="525915DC">
            <w:pPr>
              <w:widowControl/>
              <w:spacing w:line="500" w:lineRule="exact"/>
              <w:jc w:val="left"/>
              <w:rPr>
                <w:rFonts w:hint="eastAsia" w:ascii="仿宋_GB2312" w:eastAsia="仿宋_GB2312" w:cs="宋体"/>
                <w:kern w:val="0"/>
                <w:sz w:val="22"/>
              </w:rPr>
            </w:pPr>
          </w:p>
        </w:tc>
      </w:tr>
      <w:tr w14:paraId="5A17CB84">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52BE065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2D005A2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植入性医疗器械</w:t>
            </w:r>
          </w:p>
        </w:tc>
        <w:tc>
          <w:tcPr>
            <w:tcW w:w="3119" w:type="dxa"/>
            <w:tcBorders>
              <w:top w:val="nil"/>
              <w:left w:val="nil"/>
              <w:bottom w:val="single" w:color="auto" w:sz="4" w:space="0"/>
              <w:right w:val="single" w:color="auto" w:sz="4" w:space="0"/>
            </w:tcBorders>
            <w:noWrap w:val="0"/>
            <w:vAlign w:val="bottom"/>
          </w:tcPr>
          <w:p w14:paraId="098A6831">
            <w:pPr>
              <w:widowControl/>
              <w:spacing w:line="500" w:lineRule="exact"/>
              <w:jc w:val="left"/>
              <w:rPr>
                <w:rFonts w:hint="eastAsia" w:ascii="仿宋_GB2312" w:eastAsia="仿宋_GB2312" w:cs="宋体"/>
                <w:kern w:val="0"/>
                <w:sz w:val="22"/>
              </w:rPr>
            </w:pPr>
          </w:p>
        </w:tc>
      </w:tr>
      <w:tr w14:paraId="4E384D1F">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2431165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108DA2D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无菌医疗器械</w:t>
            </w:r>
          </w:p>
        </w:tc>
        <w:tc>
          <w:tcPr>
            <w:tcW w:w="3119" w:type="dxa"/>
            <w:tcBorders>
              <w:top w:val="nil"/>
              <w:left w:val="nil"/>
              <w:bottom w:val="single" w:color="auto" w:sz="4" w:space="0"/>
              <w:right w:val="single" w:color="auto" w:sz="4" w:space="0"/>
            </w:tcBorders>
            <w:noWrap w:val="0"/>
            <w:vAlign w:val="bottom"/>
          </w:tcPr>
          <w:p w14:paraId="300EB40E">
            <w:pPr>
              <w:widowControl/>
              <w:spacing w:line="500" w:lineRule="exact"/>
              <w:jc w:val="left"/>
              <w:rPr>
                <w:rFonts w:hint="eastAsia" w:ascii="仿宋_GB2312" w:eastAsia="仿宋_GB2312" w:cs="宋体"/>
                <w:kern w:val="0"/>
                <w:sz w:val="22"/>
              </w:rPr>
            </w:pPr>
          </w:p>
        </w:tc>
      </w:tr>
      <w:tr w14:paraId="1F4B627F">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39825BB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4D3A699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介入类医疗器械</w:t>
            </w:r>
          </w:p>
        </w:tc>
        <w:tc>
          <w:tcPr>
            <w:tcW w:w="3119" w:type="dxa"/>
            <w:tcBorders>
              <w:top w:val="nil"/>
              <w:left w:val="nil"/>
              <w:bottom w:val="single" w:color="auto" w:sz="4" w:space="0"/>
              <w:right w:val="single" w:color="auto" w:sz="4" w:space="0"/>
            </w:tcBorders>
            <w:noWrap w:val="0"/>
            <w:vAlign w:val="bottom"/>
          </w:tcPr>
          <w:p w14:paraId="11854B0F">
            <w:pPr>
              <w:widowControl/>
              <w:spacing w:line="500" w:lineRule="exact"/>
              <w:jc w:val="left"/>
              <w:rPr>
                <w:rFonts w:hint="eastAsia" w:ascii="仿宋_GB2312" w:eastAsia="仿宋_GB2312" w:cs="宋体"/>
                <w:kern w:val="0"/>
                <w:sz w:val="22"/>
              </w:rPr>
            </w:pPr>
          </w:p>
        </w:tc>
      </w:tr>
      <w:tr w14:paraId="67634BE2">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218FE75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52661EF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口腔科医疗器械</w:t>
            </w:r>
          </w:p>
        </w:tc>
        <w:tc>
          <w:tcPr>
            <w:tcW w:w="3119" w:type="dxa"/>
            <w:tcBorders>
              <w:top w:val="nil"/>
              <w:left w:val="nil"/>
              <w:bottom w:val="single" w:color="auto" w:sz="4" w:space="0"/>
              <w:right w:val="single" w:color="auto" w:sz="4" w:space="0"/>
            </w:tcBorders>
            <w:noWrap w:val="0"/>
            <w:vAlign w:val="bottom"/>
          </w:tcPr>
          <w:p w14:paraId="775F6FB6">
            <w:pPr>
              <w:widowControl/>
              <w:spacing w:line="500" w:lineRule="exact"/>
              <w:jc w:val="left"/>
              <w:rPr>
                <w:rFonts w:hint="eastAsia" w:ascii="仿宋_GB2312" w:eastAsia="仿宋_GB2312" w:cs="宋体"/>
                <w:kern w:val="0"/>
                <w:sz w:val="22"/>
              </w:rPr>
            </w:pPr>
          </w:p>
        </w:tc>
      </w:tr>
      <w:tr w14:paraId="1BC6122F">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5182FCD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12A7A17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医用卫生材料及敷料</w:t>
            </w:r>
          </w:p>
        </w:tc>
        <w:tc>
          <w:tcPr>
            <w:tcW w:w="3119" w:type="dxa"/>
            <w:tcBorders>
              <w:top w:val="nil"/>
              <w:left w:val="nil"/>
              <w:bottom w:val="single" w:color="auto" w:sz="4" w:space="0"/>
              <w:right w:val="single" w:color="auto" w:sz="4" w:space="0"/>
            </w:tcBorders>
            <w:noWrap w:val="0"/>
            <w:vAlign w:val="bottom"/>
          </w:tcPr>
          <w:p w14:paraId="103468A5">
            <w:pPr>
              <w:widowControl/>
              <w:spacing w:line="500" w:lineRule="exact"/>
              <w:jc w:val="left"/>
              <w:rPr>
                <w:rFonts w:hint="eastAsia" w:ascii="仿宋_GB2312" w:eastAsia="仿宋_GB2312" w:cs="宋体"/>
                <w:kern w:val="0"/>
                <w:sz w:val="22"/>
              </w:rPr>
            </w:pPr>
          </w:p>
        </w:tc>
      </w:tr>
      <w:tr w14:paraId="0D4F83F0">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bottom w:val="single" w:color="auto" w:sz="4" w:space="0"/>
              <w:right w:val="single" w:color="auto" w:sz="4" w:space="0"/>
            </w:tcBorders>
            <w:noWrap w:val="0"/>
            <w:vAlign w:val="center"/>
          </w:tcPr>
          <w:p w14:paraId="2C56FA9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nil"/>
              <w:left w:val="nil"/>
              <w:bottom w:val="single" w:color="auto" w:sz="4" w:space="0"/>
              <w:right w:val="single" w:color="auto" w:sz="4" w:space="0"/>
            </w:tcBorders>
            <w:noWrap w:val="0"/>
            <w:vAlign w:val="center"/>
          </w:tcPr>
          <w:p w14:paraId="1BA985E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医疗美容医疗器械</w:t>
            </w:r>
          </w:p>
        </w:tc>
        <w:tc>
          <w:tcPr>
            <w:tcW w:w="3119" w:type="dxa"/>
            <w:tcBorders>
              <w:top w:val="nil"/>
              <w:left w:val="nil"/>
              <w:bottom w:val="single" w:color="auto" w:sz="4" w:space="0"/>
              <w:right w:val="single" w:color="auto" w:sz="4" w:space="0"/>
            </w:tcBorders>
            <w:noWrap w:val="0"/>
            <w:vAlign w:val="bottom"/>
          </w:tcPr>
          <w:p w14:paraId="478FC502">
            <w:pPr>
              <w:widowControl/>
              <w:spacing w:line="500" w:lineRule="exact"/>
              <w:jc w:val="left"/>
              <w:rPr>
                <w:rFonts w:hint="eastAsia" w:ascii="仿宋_GB2312" w:eastAsia="仿宋_GB2312" w:cs="宋体"/>
                <w:kern w:val="0"/>
                <w:sz w:val="22"/>
              </w:rPr>
            </w:pPr>
          </w:p>
        </w:tc>
      </w:tr>
      <w:tr w14:paraId="1D750B24">
        <w:tblPrEx>
          <w:tblCellMar>
            <w:top w:w="0" w:type="dxa"/>
            <w:left w:w="108" w:type="dxa"/>
            <w:bottom w:w="0" w:type="dxa"/>
            <w:right w:w="108" w:type="dxa"/>
          </w:tblCellMar>
        </w:tblPrEx>
        <w:trPr>
          <w:trHeight w:val="510" w:hRule="atLeast"/>
          <w:jc w:val="center"/>
        </w:trPr>
        <w:tc>
          <w:tcPr>
            <w:tcW w:w="1798" w:type="dxa"/>
            <w:vMerge w:val="restart"/>
            <w:tcBorders>
              <w:top w:val="nil"/>
              <w:left w:val="single" w:color="auto" w:sz="4" w:space="0"/>
              <w:right w:val="single" w:color="auto" w:sz="4" w:space="0"/>
            </w:tcBorders>
            <w:noWrap w:val="0"/>
            <w:vAlign w:val="center"/>
          </w:tcPr>
          <w:p w14:paraId="4A495BC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网络销售</w:t>
            </w:r>
          </w:p>
        </w:tc>
        <w:tc>
          <w:tcPr>
            <w:tcW w:w="3320" w:type="dxa"/>
            <w:tcBorders>
              <w:top w:val="nil"/>
              <w:left w:val="nil"/>
              <w:bottom w:val="single" w:color="auto" w:sz="4" w:space="0"/>
              <w:right w:val="single" w:color="auto" w:sz="4" w:space="0"/>
            </w:tcBorders>
            <w:noWrap w:val="0"/>
            <w:vAlign w:val="center"/>
          </w:tcPr>
          <w:p w14:paraId="6FF176E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入驻类网络销售企业</w:t>
            </w:r>
          </w:p>
        </w:tc>
        <w:tc>
          <w:tcPr>
            <w:tcW w:w="3119" w:type="dxa"/>
            <w:tcBorders>
              <w:top w:val="nil"/>
              <w:left w:val="nil"/>
              <w:bottom w:val="single" w:color="auto" w:sz="4" w:space="0"/>
              <w:right w:val="single" w:color="auto" w:sz="4" w:space="0"/>
            </w:tcBorders>
            <w:noWrap w:val="0"/>
            <w:vAlign w:val="bottom"/>
          </w:tcPr>
          <w:p w14:paraId="71137445">
            <w:pPr>
              <w:widowControl/>
              <w:spacing w:line="500" w:lineRule="exact"/>
              <w:jc w:val="left"/>
              <w:rPr>
                <w:rFonts w:hint="eastAsia" w:ascii="仿宋_GB2312" w:eastAsia="仿宋_GB2312" w:cs="宋体"/>
                <w:kern w:val="0"/>
                <w:sz w:val="22"/>
              </w:rPr>
            </w:pPr>
          </w:p>
        </w:tc>
      </w:tr>
      <w:tr w14:paraId="581BC7E9">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right w:val="single" w:color="auto" w:sz="4" w:space="0"/>
            </w:tcBorders>
            <w:noWrap w:val="0"/>
            <w:vAlign w:val="center"/>
          </w:tcPr>
          <w:p w14:paraId="3A33F80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single" w:color="auto" w:sz="4" w:space="0"/>
              <w:left w:val="single" w:color="auto" w:sz="4" w:space="0"/>
              <w:bottom w:val="single" w:color="auto" w:sz="4" w:space="0"/>
              <w:right w:val="single" w:color="auto" w:sz="4" w:space="0"/>
            </w:tcBorders>
            <w:noWrap w:val="0"/>
            <w:vAlign w:val="center"/>
          </w:tcPr>
          <w:p w14:paraId="385B503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自建类网络销售企业</w:t>
            </w:r>
          </w:p>
        </w:tc>
        <w:tc>
          <w:tcPr>
            <w:tcW w:w="3119" w:type="dxa"/>
            <w:tcBorders>
              <w:top w:val="single" w:color="auto" w:sz="4" w:space="0"/>
              <w:left w:val="single" w:color="auto" w:sz="4" w:space="0"/>
              <w:bottom w:val="single" w:color="auto" w:sz="4" w:space="0"/>
              <w:right w:val="single" w:color="auto" w:sz="4" w:space="0"/>
            </w:tcBorders>
            <w:noWrap/>
            <w:vAlign w:val="bottom"/>
          </w:tcPr>
          <w:p w14:paraId="22B726FF">
            <w:pPr>
              <w:widowControl/>
              <w:spacing w:line="500" w:lineRule="exact"/>
              <w:jc w:val="left"/>
              <w:rPr>
                <w:rFonts w:hint="eastAsia" w:ascii="仿宋_GB2312" w:eastAsia="仿宋_GB2312" w:cs="宋体"/>
                <w:kern w:val="0"/>
                <w:sz w:val="22"/>
              </w:rPr>
            </w:pPr>
          </w:p>
        </w:tc>
      </w:tr>
      <w:tr w14:paraId="10BD07A2">
        <w:tblPrEx>
          <w:tblCellMar>
            <w:top w:w="0" w:type="dxa"/>
            <w:left w:w="108" w:type="dxa"/>
            <w:bottom w:w="0" w:type="dxa"/>
            <w:right w:w="108" w:type="dxa"/>
          </w:tblCellMar>
        </w:tblPrEx>
        <w:trPr>
          <w:trHeight w:val="510" w:hRule="atLeast"/>
          <w:jc w:val="center"/>
        </w:trPr>
        <w:tc>
          <w:tcPr>
            <w:tcW w:w="1798" w:type="dxa"/>
            <w:vMerge w:val="continue"/>
            <w:tcBorders>
              <w:left w:val="single" w:color="auto" w:sz="4" w:space="0"/>
              <w:bottom w:val="single" w:color="auto" w:sz="4" w:space="0"/>
              <w:right w:val="single" w:color="auto" w:sz="4" w:space="0"/>
            </w:tcBorders>
            <w:noWrap w:val="0"/>
            <w:vAlign w:val="center"/>
          </w:tcPr>
          <w:p w14:paraId="047D53D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p>
        </w:tc>
        <w:tc>
          <w:tcPr>
            <w:tcW w:w="3320" w:type="dxa"/>
            <w:tcBorders>
              <w:top w:val="single" w:color="auto" w:sz="4" w:space="0"/>
              <w:left w:val="single" w:color="auto" w:sz="4" w:space="0"/>
              <w:bottom w:val="single" w:color="auto" w:sz="4" w:space="0"/>
              <w:right w:val="single" w:color="auto" w:sz="4" w:space="0"/>
            </w:tcBorders>
            <w:noWrap w:val="0"/>
            <w:vAlign w:val="center"/>
          </w:tcPr>
          <w:p w14:paraId="07BA0955">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第三方平台</w:t>
            </w:r>
          </w:p>
        </w:tc>
        <w:tc>
          <w:tcPr>
            <w:tcW w:w="3119" w:type="dxa"/>
            <w:tcBorders>
              <w:top w:val="single" w:color="auto" w:sz="4" w:space="0"/>
              <w:left w:val="single" w:color="auto" w:sz="4" w:space="0"/>
              <w:bottom w:val="single" w:color="auto" w:sz="4" w:space="0"/>
              <w:right w:val="single" w:color="auto" w:sz="4" w:space="0"/>
            </w:tcBorders>
            <w:noWrap/>
            <w:vAlign w:val="bottom"/>
          </w:tcPr>
          <w:p w14:paraId="7E8534F9">
            <w:pPr>
              <w:widowControl/>
              <w:spacing w:line="500" w:lineRule="exact"/>
              <w:jc w:val="left"/>
              <w:rPr>
                <w:rFonts w:hint="eastAsia" w:ascii="仿宋_GB2312" w:eastAsia="仿宋_GB2312" w:cs="宋体"/>
                <w:kern w:val="0"/>
                <w:sz w:val="22"/>
              </w:rPr>
            </w:pPr>
          </w:p>
        </w:tc>
      </w:tr>
    </w:tbl>
    <w:p w14:paraId="22E390D0">
      <w:pPr>
        <w:ind w:firstLine="480" w:firstLineChars="200"/>
        <w:rPr>
          <w:rFonts w:hint="eastAsia" w:ascii="宋体" w:hAnsi="宋体" w:eastAsia="宋体" w:cs="宋体"/>
          <w:sz w:val="24"/>
          <w:szCs w:val="24"/>
        </w:rPr>
      </w:pPr>
      <w:r>
        <w:rPr>
          <w:rFonts w:hint="eastAsia" w:ascii="宋体" w:hAnsi="宋体" w:eastAsia="宋体" w:cs="宋体"/>
          <w:sz w:val="24"/>
          <w:szCs w:val="24"/>
        </w:rPr>
        <w:t>填表人：                                填表日期：</w:t>
      </w:r>
    </w:p>
    <w:p w14:paraId="7A932EDA">
      <w:pPr>
        <w:pStyle w:val="12"/>
        <w:ind w:left="0" w:leftChars="0" w:firstLine="480" w:firstLineChars="200"/>
        <w:rPr>
          <w:rFonts w:hint="eastAsia" w:ascii="宋体" w:hAnsi="宋体" w:eastAsia="宋体" w:cs="宋体"/>
          <w:sz w:val="24"/>
          <w:szCs w:val="24"/>
          <w:lang w:eastAsia="zh-CN"/>
        </w:rPr>
        <w:sectPr>
          <w:pgSz w:w="11906" w:h="16838"/>
          <w:pgMar w:top="2098" w:right="1474" w:bottom="1985" w:left="1588" w:header="851" w:footer="1077" w:gutter="0"/>
          <w:cols w:space="720" w:num="1"/>
          <w:docGrid w:linePitch="312" w:charSpace="0"/>
        </w:sectPr>
      </w:pPr>
      <w:r>
        <w:rPr>
          <w:rFonts w:hint="eastAsia" w:ascii="宋体" w:hAnsi="宋体" w:eastAsia="宋体" w:cs="宋体"/>
          <w:sz w:val="24"/>
          <w:szCs w:val="24"/>
          <w:lang w:eastAsia="zh-CN"/>
        </w:rPr>
        <w:t>备注：医疗器械经营企业总数=二类企业+三类企业+二三类兼营企业≤零售+批发+批零兼营+专门提供运输贮存服务</w:t>
      </w:r>
    </w:p>
    <w:p w14:paraId="3E28112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5</w:t>
      </w:r>
    </w:p>
    <w:p w14:paraId="53FA628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医疗器械使用单位统计表</w:t>
      </w:r>
    </w:p>
    <w:p w14:paraId="2A2F55C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sz w:val="28"/>
          <w:szCs w:val="28"/>
        </w:rPr>
        <w:t>填表单位：</w:t>
      </w:r>
    </w:p>
    <w:tbl>
      <w:tblPr>
        <w:tblStyle w:val="13"/>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3"/>
        <w:gridCol w:w="2025"/>
        <w:gridCol w:w="2631"/>
        <w:gridCol w:w="2431"/>
      </w:tblGrid>
      <w:tr w14:paraId="0A49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restart"/>
            <w:noWrap w:val="0"/>
            <w:vAlign w:val="center"/>
          </w:tcPr>
          <w:p w14:paraId="1C0174D5">
            <w:pPr>
              <w:jc w:val="center"/>
              <w:rPr>
                <w:rFonts w:hint="eastAsia" w:ascii="宋体" w:hAnsi="宋体" w:eastAsia="宋体" w:cs="宋体"/>
                <w:sz w:val="24"/>
                <w:szCs w:val="24"/>
              </w:rPr>
            </w:pPr>
            <w:r>
              <w:rPr>
                <w:rFonts w:hint="eastAsia" w:ascii="宋体" w:hAnsi="宋体" w:eastAsia="宋体" w:cs="宋体"/>
                <w:sz w:val="24"/>
                <w:szCs w:val="24"/>
              </w:rPr>
              <w:t>医院</w:t>
            </w:r>
          </w:p>
        </w:tc>
        <w:tc>
          <w:tcPr>
            <w:tcW w:w="2025" w:type="dxa"/>
            <w:vMerge w:val="restart"/>
            <w:noWrap w:val="0"/>
            <w:vAlign w:val="center"/>
          </w:tcPr>
          <w:p w14:paraId="51AA8717">
            <w:pPr>
              <w:jc w:val="center"/>
              <w:rPr>
                <w:rFonts w:hint="eastAsia" w:ascii="宋体" w:hAnsi="宋体" w:eastAsia="宋体" w:cs="宋体"/>
                <w:sz w:val="24"/>
                <w:szCs w:val="24"/>
              </w:rPr>
            </w:pPr>
            <w:r>
              <w:rPr>
                <w:rFonts w:hint="eastAsia" w:ascii="宋体" w:hAnsi="宋体" w:eastAsia="宋体" w:cs="宋体"/>
                <w:sz w:val="24"/>
                <w:szCs w:val="24"/>
              </w:rPr>
              <w:t>按经济类型分</w:t>
            </w:r>
          </w:p>
        </w:tc>
        <w:tc>
          <w:tcPr>
            <w:tcW w:w="2631" w:type="dxa"/>
            <w:noWrap w:val="0"/>
            <w:vAlign w:val="center"/>
          </w:tcPr>
          <w:p w14:paraId="7FFB0EB4">
            <w:pPr>
              <w:jc w:val="center"/>
              <w:rPr>
                <w:rFonts w:hint="eastAsia" w:ascii="宋体" w:hAnsi="宋体" w:eastAsia="宋体" w:cs="宋体"/>
                <w:sz w:val="24"/>
                <w:szCs w:val="24"/>
              </w:rPr>
            </w:pPr>
            <w:r>
              <w:rPr>
                <w:rFonts w:hint="eastAsia" w:ascii="宋体" w:hAnsi="宋体" w:eastAsia="宋体" w:cs="宋体"/>
                <w:sz w:val="24"/>
                <w:szCs w:val="24"/>
              </w:rPr>
              <w:t>公立医院</w:t>
            </w:r>
          </w:p>
        </w:tc>
        <w:tc>
          <w:tcPr>
            <w:tcW w:w="2431" w:type="dxa"/>
            <w:noWrap w:val="0"/>
            <w:vAlign w:val="top"/>
          </w:tcPr>
          <w:p w14:paraId="1BD7811A">
            <w:pPr>
              <w:jc w:val="left"/>
              <w:rPr>
                <w:rFonts w:hint="eastAsia" w:ascii="仿宋_GB2312" w:eastAsia="仿宋_GB2312"/>
                <w:sz w:val="24"/>
                <w:szCs w:val="24"/>
              </w:rPr>
            </w:pPr>
          </w:p>
        </w:tc>
      </w:tr>
      <w:tr w14:paraId="00D5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756F3346">
            <w:pPr>
              <w:jc w:val="center"/>
              <w:rPr>
                <w:rFonts w:hint="eastAsia" w:ascii="宋体" w:hAnsi="宋体" w:eastAsia="宋体" w:cs="宋体"/>
                <w:sz w:val="24"/>
                <w:szCs w:val="24"/>
              </w:rPr>
            </w:pPr>
          </w:p>
        </w:tc>
        <w:tc>
          <w:tcPr>
            <w:tcW w:w="2025" w:type="dxa"/>
            <w:vMerge w:val="continue"/>
            <w:noWrap w:val="0"/>
            <w:vAlign w:val="center"/>
          </w:tcPr>
          <w:p w14:paraId="428C770F">
            <w:pPr>
              <w:jc w:val="center"/>
              <w:rPr>
                <w:rFonts w:hint="eastAsia" w:ascii="宋体" w:hAnsi="宋体" w:eastAsia="宋体" w:cs="宋体"/>
                <w:sz w:val="24"/>
                <w:szCs w:val="24"/>
              </w:rPr>
            </w:pPr>
          </w:p>
        </w:tc>
        <w:tc>
          <w:tcPr>
            <w:tcW w:w="2631" w:type="dxa"/>
            <w:noWrap w:val="0"/>
            <w:vAlign w:val="center"/>
          </w:tcPr>
          <w:p w14:paraId="78BF3AB3">
            <w:pPr>
              <w:jc w:val="center"/>
              <w:rPr>
                <w:rFonts w:hint="eastAsia" w:ascii="宋体" w:hAnsi="宋体" w:eastAsia="宋体" w:cs="宋体"/>
                <w:sz w:val="24"/>
                <w:szCs w:val="24"/>
              </w:rPr>
            </w:pPr>
            <w:r>
              <w:rPr>
                <w:rFonts w:hint="eastAsia" w:ascii="宋体" w:hAnsi="宋体" w:eastAsia="宋体" w:cs="宋体"/>
                <w:sz w:val="24"/>
                <w:szCs w:val="24"/>
              </w:rPr>
              <w:t>民营医院</w:t>
            </w:r>
          </w:p>
        </w:tc>
        <w:tc>
          <w:tcPr>
            <w:tcW w:w="2431" w:type="dxa"/>
            <w:noWrap w:val="0"/>
            <w:vAlign w:val="top"/>
          </w:tcPr>
          <w:p w14:paraId="38041F12">
            <w:pPr>
              <w:jc w:val="left"/>
              <w:rPr>
                <w:rFonts w:hint="eastAsia" w:ascii="仿宋_GB2312" w:eastAsia="仿宋_GB2312"/>
                <w:sz w:val="24"/>
                <w:szCs w:val="24"/>
              </w:rPr>
            </w:pPr>
          </w:p>
        </w:tc>
      </w:tr>
      <w:tr w14:paraId="025B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0966BA5C">
            <w:pPr>
              <w:jc w:val="center"/>
              <w:rPr>
                <w:rFonts w:hint="eastAsia" w:ascii="宋体" w:hAnsi="宋体" w:eastAsia="宋体" w:cs="宋体"/>
                <w:sz w:val="24"/>
                <w:szCs w:val="24"/>
              </w:rPr>
            </w:pPr>
          </w:p>
        </w:tc>
        <w:tc>
          <w:tcPr>
            <w:tcW w:w="2025" w:type="dxa"/>
            <w:vMerge w:val="restart"/>
            <w:noWrap w:val="0"/>
            <w:vAlign w:val="center"/>
          </w:tcPr>
          <w:p w14:paraId="6401F890">
            <w:pPr>
              <w:jc w:val="center"/>
              <w:rPr>
                <w:rFonts w:hint="eastAsia" w:ascii="宋体" w:hAnsi="宋体" w:eastAsia="宋体" w:cs="宋体"/>
                <w:sz w:val="24"/>
                <w:szCs w:val="24"/>
              </w:rPr>
            </w:pPr>
            <w:r>
              <w:rPr>
                <w:rFonts w:hint="eastAsia" w:ascii="宋体" w:hAnsi="宋体" w:eastAsia="宋体" w:cs="宋体"/>
                <w:sz w:val="24"/>
                <w:szCs w:val="24"/>
              </w:rPr>
              <w:t>按医院等级分</w:t>
            </w:r>
          </w:p>
        </w:tc>
        <w:tc>
          <w:tcPr>
            <w:tcW w:w="2631" w:type="dxa"/>
            <w:noWrap w:val="0"/>
            <w:vAlign w:val="center"/>
          </w:tcPr>
          <w:p w14:paraId="4D290C9F">
            <w:pPr>
              <w:jc w:val="center"/>
              <w:rPr>
                <w:rFonts w:hint="eastAsia" w:ascii="宋体" w:hAnsi="宋体" w:eastAsia="宋体" w:cs="宋体"/>
                <w:sz w:val="24"/>
                <w:szCs w:val="24"/>
              </w:rPr>
            </w:pPr>
            <w:r>
              <w:rPr>
                <w:rFonts w:hint="eastAsia" w:ascii="宋体" w:hAnsi="宋体" w:eastAsia="宋体" w:cs="宋体"/>
                <w:sz w:val="24"/>
                <w:szCs w:val="24"/>
              </w:rPr>
              <w:t>三级医院</w:t>
            </w:r>
          </w:p>
        </w:tc>
        <w:tc>
          <w:tcPr>
            <w:tcW w:w="2431" w:type="dxa"/>
            <w:noWrap w:val="0"/>
            <w:vAlign w:val="top"/>
          </w:tcPr>
          <w:p w14:paraId="50B58343">
            <w:pPr>
              <w:jc w:val="left"/>
              <w:rPr>
                <w:rFonts w:hint="eastAsia" w:ascii="仿宋_GB2312" w:eastAsia="仿宋_GB2312"/>
                <w:sz w:val="24"/>
                <w:szCs w:val="24"/>
              </w:rPr>
            </w:pPr>
          </w:p>
        </w:tc>
      </w:tr>
      <w:tr w14:paraId="3AB4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6143AF2C">
            <w:pPr>
              <w:jc w:val="center"/>
              <w:rPr>
                <w:rFonts w:hint="eastAsia" w:ascii="宋体" w:hAnsi="宋体" w:eastAsia="宋体" w:cs="宋体"/>
                <w:sz w:val="24"/>
                <w:szCs w:val="24"/>
              </w:rPr>
            </w:pPr>
          </w:p>
        </w:tc>
        <w:tc>
          <w:tcPr>
            <w:tcW w:w="2025" w:type="dxa"/>
            <w:vMerge w:val="continue"/>
            <w:noWrap w:val="0"/>
            <w:vAlign w:val="top"/>
          </w:tcPr>
          <w:p w14:paraId="2C3583A1">
            <w:pPr>
              <w:jc w:val="left"/>
              <w:rPr>
                <w:rFonts w:hint="eastAsia" w:ascii="宋体" w:hAnsi="宋体" w:eastAsia="宋体" w:cs="宋体"/>
                <w:sz w:val="24"/>
                <w:szCs w:val="24"/>
              </w:rPr>
            </w:pPr>
          </w:p>
        </w:tc>
        <w:tc>
          <w:tcPr>
            <w:tcW w:w="2631" w:type="dxa"/>
            <w:noWrap w:val="0"/>
            <w:vAlign w:val="center"/>
          </w:tcPr>
          <w:p w14:paraId="782B2A28">
            <w:pPr>
              <w:jc w:val="center"/>
              <w:rPr>
                <w:rFonts w:hint="eastAsia" w:ascii="宋体" w:hAnsi="宋体" w:eastAsia="宋体" w:cs="宋体"/>
                <w:sz w:val="24"/>
                <w:szCs w:val="24"/>
              </w:rPr>
            </w:pPr>
            <w:r>
              <w:rPr>
                <w:rFonts w:hint="eastAsia" w:ascii="宋体" w:hAnsi="宋体" w:eastAsia="宋体" w:cs="宋体"/>
                <w:sz w:val="24"/>
                <w:szCs w:val="24"/>
              </w:rPr>
              <w:t>二级医院</w:t>
            </w:r>
          </w:p>
        </w:tc>
        <w:tc>
          <w:tcPr>
            <w:tcW w:w="2431" w:type="dxa"/>
            <w:noWrap w:val="0"/>
            <w:vAlign w:val="top"/>
          </w:tcPr>
          <w:p w14:paraId="042EDD76">
            <w:pPr>
              <w:jc w:val="left"/>
              <w:rPr>
                <w:rFonts w:hint="eastAsia" w:ascii="仿宋_GB2312" w:eastAsia="仿宋_GB2312"/>
                <w:sz w:val="24"/>
                <w:szCs w:val="24"/>
              </w:rPr>
            </w:pPr>
          </w:p>
        </w:tc>
      </w:tr>
      <w:tr w14:paraId="6987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exact"/>
          <w:jc w:val="center"/>
        </w:trPr>
        <w:tc>
          <w:tcPr>
            <w:tcW w:w="1973" w:type="dxa"/>
            <w:vMerge w:val="continue"/>
            <w:noWrap w:val="0"/>
            <w:vAlign w:val="center"/>
          </w:tcPr>
          <w:p w14:paraId="306AED20">
            <w:pPr>
              <w:jc w:val="center"/>
              <w:rPr>
                <w:rFonts w:hint="eastAsia" w:ascii="宋体" w:hAnsi="宋体" w:eastAsia="宋体" w:cs="宋体"/>
                <w:sz w:val="24"/>
                <w:szCs w:val="24"/>
              </w:rPr>
            </w:pPr>
          </w:p>
        </w:tc>
        <w:tc>
          <w:tcPr>
            <w:tcW w:w="2025" w:type="dxa"/>
            <w:vMerge w:val="continue"/>
            <w:noWrap w:val="0"/>
            <w:vAlign w:val="top"/>
          </w:tcPr>
          <w:p w14:paraId="239AAB12">
            <w:pPr>
              <w:jc w:val="left"/>
              <w:rPr>
                <w:rFonts w:hint="eastAsia" w:ascii="宋体" w:hAnsi="宋体" w:eastAsia="宋体" w:cs="宋体"/>
                <w:sz w:val="24"/>
                <w:szCs w:val="24"/>
              </w:rPr>
            </w:pPr>
          </w:p>
        </w:tc>
        <w:tc>
          <w:tcPr>
            <w:tcW w:w="2631" w:type="dxa"/>
            <w:noWrap w:val="0"/>
            <w:vAlign w:val="center"/>
          </w:tcPr>
          <w:p w14:paraId="7F4410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一级医院</w:t>
            </w:r>
          </w:p>
        </w:tc>
        <w:tc>
          <w:tcPr>
            <w:tcW w:w="2431" w:type="dxa"/>
            <w:noWrap w:val="0"/>
            <w:vAlign w:val="top"/>
          </w:tcPr>
          <w:p w14:paraId="1D70577C">
            <w:pPr>
              <w:jc w:val="left"/>
              <w:rPr>
                <w:rFonts w:hint="eastAsia" w:ascii="仿宋_GB2312" w:eastAsia="仿宋_GB2312"/>
                <w:sz w:val="24"/>
                <w:szCs w:val="24"/>
              </w:rPr>
            </w:pPr>
          </w:p>
        </w:tc>
      </w:tr>
      <w:tr w14:paraId="0F41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973" w:type="dxa"/>
            <w:vMerge w:val="continue"/>
            <w:noWrap w:val="0"/>
            <w:vAlign w:val="center"/>
          </w:tcPr>
          <w:p w14:paraId="573647EF">
            <w:pPr>
              <w:jc w:val="center"/>
              <w:rPr>
                <w:rFonts w:hint="eastAsia" w:ascii="宋体" w:hAnsi="宋体" w:eastAsia="宋体" w:cs="宋体"/>
                <w:sz w:val="24"/>
                <w:szCs w:val="24"/>
              </w:rPr>
            </w:pPr>
          </w:p>
        </w:tc>
        <w:tc>
          <w:tcPr>
            <w:tcW w:w="2025" w:type="dxa"/>
            <w:vMerge w:val="continue"/>
            <w:noWrap w:val="0"/>
            <w:vAlign w:val="top"/>
          </w:tcPr>
          <w:p w14:paraId="7BE61BDB">
            <w:pPr>
              <w:jc w:val="left"/>
              <w:rPr>
                <w:rFonts w:hint="eastAsia" w:ascii="宋体" w:hAnsi="宋体" w:eastAsia="宋体" w:cs="宋体"/>
                <w:sz w:val="24"/>
                <w:szCs w:val="24"/>
              </w:rPr>
            </w:pPr>
          </w:p>
        </w:tc>
        <w:tc>
          <w:tcPr>
            <w:tcW w:w="2631" w:type="dxa"/>
            <w:noWrap w:val="0"/>
            <w:vAlign w:val="center"/>
          </w:tcPr>
          <w:p w14:paraId="3E041E26">
            <w:pPr>
              <w:jc w:val="center"/>
              <w:rPr>
                <w:rFonts w:hint="eastAsia" w:ascii="宋体" w:hAnsi="宋体" w:eastAsia="宋体" w:cs="宋体"/>
                <w:sz w:val="24"/>
                <w:szCs w:val="24"/>
              </w:rPr>
            </w:pPr>
            <w:r>
              <w:rPr>
                <w:rFonts w:hint="eastAsia" w:ascii="宋体" w:hAnsi="宋体" w:eastAsia="宋体" w:cs="宋体"/>
                <w:sz w:val="24"/>
                <w:szCs w:val="24"/>
              </w:rPr>
              <w:t>未定级医院</w:t>
            </w:r>
          </w:p>
        </w:tc>
        <w:tc>
          <w:tcPr>
            <w:tcW w:w="2431" w:type="dxa"/>
            <w:noWrap w:val="0"/>
            <w:vAlign w:val="top"/>
          </w:tcPr>
          <w:p w14:paraId="7D9811EA">
            <w:pPr>
              <w:jc w:val="left"/>
              <w:rPr>
                <w:rFonts w:hint="eastAsia" w:ascii="仿宋_GB2312" w:eastAsia="仿宋_GB2312"/>
                <w:sz w:val="24"/>
                <w:szCs w:val="24"/>
              </w:rPr>
            </w:pPr>
          </w:p>
        </w:tc>
      </w:tr>
      <w:tr w14:paraId="04AD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restart"/>
            <w:noWrap w:val="0"/>
            <w:vAlign w:val="center"/>
          </w:tcPr>
          <w:p w14:paraId="4DBBFF16">
            <w:pPr>
              <w:jc w:val="center"/>
              <w:rPr>
                <w:rFonts w:hint="eastAsia" w:ascii="宋体" w:hAnsi="宋体" w:eastAsia="宋体" w:cs="宋体"/>
                <w:sz w:val="24"/>
                <w:szCs w:val="24"/>
              </w:rPr>
            </w:pPr>
            <w:r>
              <w:rPr>
                <w:rFonts w:hint="eastAsia" w:ascii="宋体" w:hAnsi="宋体" w:eastAsia="宋体" w:cs="宋体"/>
                <w:sz w:val="24"/>
                <w:szCs w:val="24"/>
              </w:rPr>
              <w:t>基层医疗</w:t>
            </w:r>
          </w:p>
          <w:p w14:paraId="23472E7A">
            <w:pPr>
              <w:jc w:val="center"/>
              <w:rPr>
                <w:rFonts w:hint="eastAsia" w:ascii="宋体" w:hAnsi="宋体" w:eastAsia="宋体" w:cs="宋体"/>
                <w:sz w:val="24"/>
                <w:szCs w:val="24"/>
              </w:rPr>
            </w:pPr>
            <w:r>
              <w:rPr>
                <w:rFonts w:hint="eastAsia" w:ascii="宋体" w:hAnsi="宋体" w:eastAsia="宋体" w:cs="宋体"/>
                <w:sz w:val="24"/>
                <w:szCs w:val="24"/>
              </w:rPr>
              <w:t>卫生机构</w:t>
            </w:r>
          </w:p>
        </w:tc>
        <w:tc>
          <w:tcPr>
            <w:tcW w:w="4656" w:type="dxa"/>
            <w:gridSpan w:val="2"/>
            <w:noWrap w:val="0"/>
            <w:vAlign w:val="center"/>
          </w:tcPr>
          <w:p w14:paraId="4B0349DD">
            <w:pPr>
              <w:jc w:val="center"/>
              <w:rPr>
                <w:rFonts w:hint="eastAsia" w:ascii="宋体" w:hAnsi="宋体" w:eastAsia="宋体" w:cs="宋体"/>
                <w:sz w:val="24"/>
                <w:szCs w:val="24"/>
              </w:rPr>
            </w:pPr>
            <w:r>
              <w:rPr>
                <w:rFonts w:hint="eastAsia" w:ascii="宋体" w:hAnsi="宋体" w:eastAsia="宋体" w:cs="宋体"/>
                <w:sz w:val="24"/>
                <w:szCs w:val="24"/>
              </w:rPr>
              <w:t>社区卫生服务中心（站）</w:t>
            </w:r>
          </w:p>
        </w:tc>
        <w:tc>
          <w:tcPr>
            <w:tcW w:w="2431" w:type="dxa"/>
            <w:noWrap w:val="0"/>
            <w:vAlign w:val="top"/>
          </w:tcPr>
          <w:p w14:paraId="361C08F9">
            <w:pPr>
              <w:jc w:val="left"/>
              <w:rPr>
                <w:rFonts w:hint="eastAsia" w:ascii="仿宋_GB2312" w:eastAsia="仿宋_GB2312"/>
                <w:sz w:val="24"/>
                <w:szCs w:val="24"/>
              </w:rPr>
            </w:pPr>
          </w:p>
        </w:tc>
      </w:tr>
      <w:tr w14:paraId="4FAB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50265D2A">
            <w:pPr>
              <w:jc w:val="center"/>
              <w:rPr>
                <w:rFonts w:hint="eastAsia" w:ascii="宋体" w:hAnsi="宋体" w:eastAsia="宋体" w:cs="宋体"/>
                <w:sz w:val="24"/>
                <w:szCs w:val="24"/>
              </w:rPr>
            </w:pPr>
          </w:p>
        </w:tc>
        <w:tc>
          <w:tcPr>
            <w:tcW w:w="4656" w:type="dxa"/>
            <w:gridSpan w:val="2"/>
            <w:noWrap w:val="0"/>
            <w:vAlign w:val="center"/>
          </w:tcPr>
          <w:p w14:paraId="1D41448E">
            <w:pPr>
              <w:jc w:val="center"/>
              <w:rPr>
                <w:rFonts w:hint="eastAsia" w:ascii="宋体" w:hAnsi="宋体" w:eastAsia="宋体" w:cs="宋体"/>
                <w:sz w:val="24"/>
                <w:szCs w:val="24"/>
              </w:rPr>
            </w:pPr>
            <w:r>
              <w:rPr>
                <w:rFonts w:hint="eastAsia" w:ascii="宋体" w:hAnsi="宋体" w:eastAsia="宋体" w:cs="宋体"/>
                <w:sz w:val="24"/>
                <w:szCs w:val="24"/>
              </w:rPr>
              <w:t>乡镇卫生院</w:t>
            </w:r>
          </w:p>
        </w:tc>
        <w:tc>
          <w:tcPr>
            <w:tcW w:w="2431" w:type="dxa"/>
            <w:noWrap w:val="0"/>
            <w:vAlign w:val="top"/>
          </w:tcPr>
          <w:p w14:paraId="77C37C71">
            <w:pPr>
              <w:jc w:val="left"/>
              <w:rPr>
                <w:rFonts w:hint="eastAsia" w:ascii="仿宋_GB2312" w:eastAsia="仿宋_GB2312"/>
                <w:sz w:val="24"/>
                <w:szCs w:val="24"/>
              </w:rPr>
            </w:pPr>
          </w:p>
        </w:tc>
      </w:tr>
      <w:tr w14:paraId="6F2A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598A23F8">
            <w:pPr>
              <w:jc w:val="center"/>
              <w:rPr>
                <w:rFonts w:hint="eastAsia" w:ascii="宋体" w:hAnsi="宋体" w:eastAsia="宋体" w:cs="宋体"/>
                <w:sz w:val="24"/>
                <w:szCs w:val="24"/>
              </w:rPr>
            </w:pPr>
          </w:p>
        </w:tc>
        <w:tc>
          <w:tcPr>
            <w:tcW w:w="4656" w:type="dxa"/>
            <w:gridSpan w:val="2"/>
            <w:noWrap w:val="0"/>
            <w:vAlign w:val="center"/>
          </w:tcPr>
          <w:p w14:paraId="12DA357E">
            <w:pPr>
              <w:jc w:val="center"/>
              <w:rPr>
                <w:rFonts w:hint="eastAsia" w:ascii="宋体" w:hAnsi="宋体" w:eastAsia="宋体" w:cs="宋体"/>
                <w:sz w:val="24"/>
                <w:szCs w:val="24"/>
              </w:rPr>
            </w:pPr>
            <w:r>
              <w:rPr>
                <w:rFonts w:hint="eastAsia" w:ascii="宋体" w:hAnsi="宋体" w:eastAsia="宋体" w:cs="宋体"/>
                <w:sz w:val="24"/>
                <w:szCs w:val="24"/>
              </w:rPr>
              <w:t>村卫生室</w:t>
            </w:r>
          </w:p>
        </w:tc>
        <w:tc>
          <w:tcPr>
            <w:tcW w:w="2431" w:type="dxa"/>
            <w:noWrap w:val="0"/>
            <w:vAlign w:val="top"/>
          </w:tcPr>
          <w:p w14:paraId="3FAEC9BD">
            <w:pPr>
              <w:jc w:val="left"/>
              <w:rPr>
                <w:rFonts w:hint="eastAsia" w:ascii="仿宋_GB2312" w:eastAsia="仿宋_GB2312"/>
                <w:sz w:val="24"/>
                <w:szCs w:val="24"/>
              </w:rPr>
            </w:pPr>
          </w:p>
        </w:tc>
      </w:tr>
      <w:tr w14:paraId="125F6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3A285095">
            <w:pPr>
              <w:jc w:val="center"/>
              <w:rPr>
                <w:rFonts w:hint="eastAsia" w:ascii="宋体" w:hAnsi="宋体" w:eastAsia="宋体" w:cs="宋体"/>
                <w:sz w:val="24"/>
                <w:szCs w:val="24"/>
              </w:rPr>
            </w:pPr>
          </w:p>
        </w:tc>
        <w:tc>
          <w:tcPr>
            <w:tcW w:w="4656" w:type="dxa"/>
            <w:gridSpan w:val="2"/>
            <w:noWrap w:val="0"/>
            <w:vAlign w:val="center"/>
          </w:tcPr>
          <w:p w14:paraId="47A914A0">
            <w:pPr>
              <w:jc w:val="center"/>
              <w:rPr>
                <w:rFonts w:hint="eastAsia" w:ascii="宋体" w:hAnsi="宋体" w:eastAsia="宋体" w:cs="宋体"/>
                <w:sz w:val="24"/>
                <w:szCs w:val="24"/>
              </w:rPr>
            </w:pPr>
            <w:r>
              <w:rPr>
                <w:rFonts w:hint="eastAsia" w:ascii="宋体" w:hAnsi="宋体" w:eastAsia="宋体" w:cs="宋体"/>
                <w:sz w:val="24"/>
                <w:szCs w:val="24"/>
              </w:rPr>
              <w:t>门诊部</w:t>
            </w:r>
          </w:p>
        </w:tc>
        <w:tc>
          <w:tcPr>
            <w:tcW w:w="2431" w:type="dxa"/>
            <w:noWrap w:val="0"/>
            <w:vAlign w:val="top"/>
          </w:tcPr>
          <w:p w14:paraId="3443AA96">
            <w:pPr>
              <w:jc w:val="left"/>
              <w:rPr>
                <w:rFonts w:hint="eastAsia" w:ascii="仿宋_GB2312" w:eastAsia="仿宋_GB2312"/>
                <w:sz w:val="24"/>
                <w:szCs w:val="24"/>
              </w:rPr>
            </w:pPr>
          </w:p>
        </w:tc>
      </w:tr>
      <w:tr w14:paraId="56D59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348B1D96">
            <w:pPr>
              <w:jc w:val="center"/>
              <w:rPr>
                <w:rFonts w:hint="eastAsia" w:ascii="宋体" w:hAnsi="宋体" w:eastAsia="宋体" w:cs="宋体"/>
                <w:sz w:val="24"/>
                <w:szCs w:val="24"/>
              </w:rPr>
            </w:pPr>
          </w:p>
        </w:tc>
        <w:tc>
          <w:tcPr>
            <w:tcW w:w="4656" w:type="dxa"/>
            <w:gridSpan w:val="2"/>
            <w:noWrap w:val="0"/>
            <w:vAlign w:val="center"/>
          </w:tcPr>
          <w:p w14:paraId="59E312D2">
            <w:pPr>
              <w:jc w:val="center"/>
              <w:rPr>
                <w:rFonts w:hint="eastAsia" w:ascii="宋体" w:hAnsi="宋体" w:eastAsia="宋体" w:cs="宋体"/>
                <w:sz w:val="24"/>
                <w:szCs w:val="24"/>
              </w:rPr>
            </w:pPr>
            <w:r>
              <w:rPr>
                <w:rFonts w:hint="eastAsia" w:ascii="宋体" w:hAnsi="宋体" w:eastAsia="宋体" w:cs="宋体"/>
                <w:sz w:val="24"/>
                <w:szCs w:val="24"/>
              </w:rPr>
              <w:t>诊所（卫生所、医务室）</w:t>
            </w:r>
          </w:p>
        </w:tc>
        <w:tc>
          <w:tcPr>
            <w:tcW w:w="2431" w:type="dxa"/>
            <w:noWrap w:val="0"/>
            <w:vAlign w:val="top"/>
          </w:tcPr>
          <w:p w14:paraId="010F04AE">
            <w:pPr>
              <w:jc w:val="left"/>
              <w:rPr>
                <w:rFonts w:hint="eastAsia" w:ascii="仿宋_GB2312" w:eastAsia="仿宋_GB2312"/>
                <w:sz w:val="24"/>
                <w:szCs w:val="24"/>
              </w:rPr>
            </w:pPr>
          </w:p>
        </w:tc>
      </w:tr>
      <w:tr w14:paraId="2A2E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restart"/>
            <w:noWrap w:val="0"/>
            <w:vAlign w:val="center"/>
          </w:tcPr>
          <w:p w14:paraId="21347AD9">
            <w:pPr>
              <w:jc w:val="center"/>
              <w:rPr>
                <w:rFonts w:hint="eastAsia" w:ascii="宋体" w:hAnsi="宋体" w:eastAsia="宋体" w:cs="宋体"/>
                <w:sz w:val="24"/>
                <w:szCs w:val="24"/>
              </w:rPr>
            </w:pPr>
            <w:r>
              <w:rPr>
                <w:rFonts w:hint="eastAsia" w:ascii="宋体" w:hAnsi="宋体" w:eastAsia="宋体" w:cs="宋体"/>
                <w:sz w:val="24"/>
                <w:szCs w:val="24"/>
              </w:rPr>
              <w:t>专业公共</w:t>
            </w:r>
            <w:r>
              <w:rPr>
                <w:rFonts w:hint="eastAsia" w:ascii="宋体" w:hAnsi="宋体" w:eastAsia="宋体" w:cs="宋体"/>
                <w:sz w:val="24"/>
                <w:szCs w:val="24"/>
              </w:rPr>
              <w:br w:type="textWrapping"/>
            </w:r>
            <w:r>
              <w:rPr>
                <w:rFonts w:hint="eastAsia" w:ascii="宋体" w:hAnsi="宋体" w:eastAsia="宋体" w:cs="宋体"/>
                <w:sz w:val="24"/>
                <w:szCs w:val="24"/>
              </w:rPr>
              <w:t>卫生机构</w:t>
            </w:r>
          </w:p>
        </w:tc>
        <w:tc>
          <w:tcPr>
            <w:tcW w:w="4656" w:type="dxa"/>
            <w:gridSpan w:val="2"/>
            <w:noWrap w:val="0"/>
            <w:vAlign w:val="center"/>
          </w:tcPr>
          <w:p w14:paraId="53EA6896">
            <w:pPr>
              <w:jc w:val="center"/>
              <w:rPr>
                <w:rFonts w:hint="eastAsia" w:ascii="宋体" w:hAnsi="宋体" w:eastAsia="宋体" w:cs="宋体"/>
                <w:sz w:val="24"/>
                <w:szCs w:val="24"/>
              </w:rPr>
            </w:pPr>
            <w:r>
              <w:rPr>
                <w:rFonts w:hint="eastAsia" w:ascii="宋体" w:hAnsi="宋体" w:eastAsia="宋体" w:cs="宋体"/>
                <w:sz w:val="24"/>
                <w:szCs w:val="24"/>
              </w:rPr>
              <w:t>疾病预防控制中心</w:t>
            </w:r>
          </w:p>
        </w:tc>
        <w:tc>
          <w:tcPr>
            <w:tcW w:w="2431" w:type="dxa"/>
            <w:noWrap w:val="0"/>
            <w:vAlign w:val="top"/>
          </w:tcPr>
          <w:p w14:paraId="536A60C2">
            <w:pPr>
              <w:jc w:val="left"/>
              <w:rPr>
                <w:rFonts w:hint="eastAsia" w:ascii="仿宋_GB2312" w:eastAsia="仿宋_GB2312"/>
                <w:sz w:val="24"/>
                <w:szCs w:val="24"/>
              </w:rPr>
            </w:pPr>
          </w:p>
        </w:tc>
      </w:tr>
      <w:tr w14:paraId="38BA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5686BC29">
            <w:pPr>
              <w:jc w:val="center"/>
              <w:rPr>
                <w:rFonts w:hint="eastAsia" w:ascii="宋体" w:hAnsi="宋体" w:eastAsia="宋体" w:cs="宋体"/>
                <w:sz w:val="24"/>
                <w:szCs w:val="24"/>
              </w:rPr>
            </w:pPr>
          </w:p>
        </w:tc>
        <w:tc>
          <w:tcPr>
            <w:tcW w:w="4656" w:type="dxa"/>
            <w:gridSpan w:val="2"/>
            <w:noWrap w:val="0"/>
            <w:vAlign w:val="center"/>
          </w:tcPr>
          <w:p w14:paraId="6D66B8A9">
            <w:pPr>
              <w:jc w:val="center"/>
              <w:rPr>
                <w:rFonts w:hint="eastAsia" w:ascii="宋体" w:hAnsi="宋体" w:eastAsia="宋体" w:cs="宋体"/>
                <w:sz w:val="24"/>
                <w:szCs w:val="24"/>
              </w:rPr>
            </w:pPr>
            <w:r>
              <w:rPr>
                <w:rFonts w:hint="eastAsia" w:ascii="宋体" w:hAnsi="宋体" w:eastAsia="宋体" w:cs="宋体"/>
                <w:sz w:val="24"/>
                <w:szCs w:val="24"/>
              </w:rPr>
              <w:t>专科疾病防治机构</w:t>
            </w:r>
          </w:p>
        </w:tc>
        <w:tc>
          <w:tcPr>
            <w:tcW w:w="2431" w:type="dxa"/>
            <w:noWrap w:val="0"/>
            <w:vAlign w:val="top"/>
          </w:tcPr>
          <w:p w14:paraId="5A788BB7">
            <w:pPr>
              <w:jc w:val="left"/>
              <w:rPr>
                <w:rFonts w:hint="eastAsia" w:ascii="仿宋_GB2312" w:eastAsia="仿宋_GB2312"/>
                <w:sz w:val="24"/>
                <w:szCs w:val="24"/>
              </w:rPr>
            </w:pPr>
          </w:p>
        </w:tc>
      </w:tr>
      <w:tr w14:paraId="1ED2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13D401E5">
            <w:pPr>
              <w:jc w:val="center"/>
              <w:rPr>
                <w:rFonts w:hint="eastAsia" w:ascii="宋体" w:hAnsi="宋体" w:eastAsia="宋体" w:cs="宋体"/>
                <w:sz w:val="24"/>
                <w:szCs w:val="24"/>
              </w:rPr>
            </w:pPr>
          </w:p>
        </w:tc>
        <w:tc>
          <w:tcPr>
            <w:tcW w:w="4656" w:type="dxa"/>
            <w:gridSpan w:val="2"/>
            <w:noWrap w:val="0"/>
            <w:vAlign w:val="center"/>
          </w:tcPr>
          <w:p w14:paraId="7A2AD5BA">
            <w:pPr>
              <w:jc w:val="center"/>
              <w:rPr>
                <w:rFonts w:hint="eastAsia" w:ascii="宋体" w:hAnsi="宋体" w:eastAsia="宋体" w:cs="宋体"/>
                <w:sz w:val="24"/>
                <w:szCs w:val="24"/>
              </w:rPr>
            </w:pPr>
            <w:r>
              <w:rPr>
                <w:rFonts w:hint="eastAsia" w:ascii="宋体" w:hAnsi="宋体" w:eastAsia="宋体" w:cs="宋体"/>
                <w:sz w:val="24"/>
                <w:szCs w:val="24"/>
              </w:rPr>
              <w:t>妇幼保健机构</w:t>
            </w:r>
          </w:p>
        </w:tc>
        <w:tc>
          <w:tcPr>
            <w:tcW w:w="2431" w:type="dxa"/>
            <w:noWrap w:val="0"/>
            <w:vAlign w:val="top"/>
          </w:tcPr>
          <w:p w14:paraId="4CBEF699">
            <w:pPr>
              <w:jc w:val="left"/>
              <w:rPr>
                <w:rFonts w:hint="eastAsia" w:ascii="仿宋_GB2312" w:eastAsia="仿宋_GB2312"/>
                <w:sz w:val="24"/>
                <w:szCs w:val="24"/>
              </w:rPr>
            </w:pPr>
          </w:p>
        </w:tc>
      </w:tr>
      <w:tr w14:paraId="0C4E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109A72EE">
            <w:pPr>
              <w:jc w:val="center"/>
              <w:rPr>
                <w:rFonts w:hint="eastAsia" w:ascii="宋体" w:hAnsi="宋体" w:eastAsia="宋体" w:cs="宋体"/>
                <w:sz w:val="24"/>
                <w:szCs w:val="24"/>
              </w:rPr>
            </w:pPr>
          </w:p>
        </w:tc>
        <w:tc>
          <w:tcPr>
            <w:tcW w:w="4656" w:type="dxa"/>
            <w:gridSpan w:val="2"/>
            <w:noWrap w:val="0"/>
            <w:vAlign w:val="center"/>
          </w:tcPr>
          <w:p w14:paraId="62552BC0">
            <w:pPr>
              <w:jc w:val="center"/>
              <w:rPr>
                <w:rFonts w:hint="eastAsia" w:ascii="宋体" w:hAnsi="宋体" w:eastAsia="宋体" w:cs="宋体"/>
                <w:sz w:val="24"/>
                <w:szCs w:val="24"/>
              </w:rPr>
            </w:pPr>
            <w:r>
              <w:rPr>
                <w:rFonts w:hint="eastAsia" w:ascii="宋体" w:hAnsi="宋体" w:eastAsia="宋体" w:cs="宋体"/>
                <w:sz w:val="24"/>
                <w:szCs w:val="24"/>
              </w:rPr>
              <w:t>急救中心（站）</w:t>
            </w:r>
          </w:p>
        </w:tc>
        <w:tc>
          <w:tcPr>
            <w:tcW w:w="2431" w:type="dxa"/>
            <w:noWrap w:val="0"/>
            <w:vAlign w:val="top"/>
          </w:tcPr>
          <w:p w14:paraId="2C6DF0B3">
            <w:pPr>
              <w:jc w:val="left"/>
              <w:rPr>
                <w:rFonts w:hint="eastAsia" w:ascii="仿宋_GB2312" w:eastAsia="仿宋_GB2312"/>
                <w:sz w:val="24"/>
                <w:szCs w:val="24"/>
              </w:rPr>
            </w:pPr>
          </w:p>
        </w:tc>
      </w:tr>
      <w:tr w14:paraId="758C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76271FC8">
            <w:pPr>
              <w:jc w:val="center"/>
              <w:rPr>
                <w:rFonts w:hint="eastAsia" w:ascii="宋体" w:hAnsi="宋体" w:eastAsia="宋体" w:cs="宋体"/>
                <w:sz w:val="24"/>
                <w:szCs w:val="24"/>
              </w:rPr>
            </w:pPr>
          </w:p>
        </w:tc>
        <w:tc>
          <w:tcPr>
            <w:tcW w:w="4656" w:type="dxa"/>
            <w:gridSpan w:val="2"/>
            <w:noWrap w:val="0"/>
            <w:vAlign w:val="center"/>
          </w:tcPr>
          <w:p w14:paraId="048179F7">
            <w:pPr>
              <w:jc w:val="center"/>
              <w:rPr>
                <w:rFonts w:hint="eastAsia" w:ascii="宋体" w:hAnsi="宋体" w:eastAsia="宋体" w:cs="宋体"/>
                <w:sz w:val="24"/>
                <w:szCs w:val="24"/>
              </w:rPr>
            </w:pPr>
            <w:r>
              <w:rPr>
                <w:rFonts w:hint="eastAsia" w:ascii="宋体" w:hAnsi="宋体" w:eastAsia="宋体" w:cs="宋体"/>
                <w:sz w:val="24"/>
                <w:szCs w:val="24"/>
              </w:rPr>
              <w:t>采供血机构</w:t>
            </w:r>
          </w:p>
        </w:tc>
        <w:tc>
          <w:tcPr>
            <w:tcW w:w="2431" w:type="dxa"/>
            <w:noWrap w:val="0"/>
            <w:vAlign w:val="top"/>
          </w:tcPr>
          <w:p w14:paraId="04AD0EC1">
            <w:pPr>
              <w:jc w:val="left"/>
              <w:rPr>
                <w:rFonts w:hint="eastAsia" w:ascii="仿宋_GB2312" w:eastAsia="仿宋_GB2312"/>
                <w:sz w:val="24"/>
                <w:szCs w:val="24"/>
              </w:rPr>
            </w:pPr>
          </w:p>
        </w:tc>
      </w:tr>
      <w:tr w14:paraId="292AF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73" w:type="dxa"/>
            <w:vMerge w:val="continue"/>
            <w:noWrap w:val="0"/>
            <w:vAlign w:val="center"/>
          </w:tcPr>
          <w:p w14:paraId="4AEC84E9">
            <w:pPr>
              <w:jc w:val="center"/>
              <w:rPr>
                <w:rFonts w:hint="eastAsia" w:ascii="宋体" w:hAnsi="宋体" w:eastAsia="宋体" w:cs="宋体"/>
                <w:sz w:val="24"/>
                <w:szCs w:val="24"/>
              </w:rPr>
            </w:pPr>
          </w:p>
        </w:tc>
        <w:tc>
          <w:tcPr>
            <w:tcW w:w="4656" w:type="dxa"/>
            <w:gridSpan w:val="2"/>
            <w:noWrap w:val="0"/>
            <w:vAlign w:val="center"/>
          </w:tcPr>
          <w:p w14:paraId="1C365E07">
            <w:pPr>
              <w:jc w:val="center"/>
              <w:rPr>
                <w:rFonts w:hint="eastAsia" w:ascii="宋体" w:hAnsi="宋体" w:eastAsia="宋体" w:cs="宋体"/>
                <w:sz w:val="24"/>
                <w:szCs w:val="24"/>
              </w:rPr>
            </w:pPr>
            <w:r>
              <w:rPr>
                <w:rFonts w:hint="eastAsia" w:ascii="宋体" w:hAnsi="宋体" w:eastAsia="宋体" w:cs="宋体"/>
                <w:sz w:val="24"/>
                <w:szCs w:val="24"/>
              </w:rPr>
              <w:t>计划生育技术服务机构</w:t>
            </w:r>
          </w:p>
        </w:tc>
        <w:tc>
          <w:tcPr>
            <w:tcW w:w="2431" w:type="dxa"/>
            <w:noWrap w:val="0"/>
            <w:vAlign w:val="top"/>
          </w:tcPr>
          <w:p w14:paraId="34DED080">
            <w:pPr>
              <w:jc w:val="left"/>
              <w:rPr>
                <w:rFonts w:hint="eastAsia" w:ascii="仿宋_GB2312" w:eastAsia="仿宋_GB2312"/>
                <w:sz w:val="24"/>
                <w:szCs w:val="24"/>
              </w:rPr>
            </w:pPr>
          </w:p>
        </w:tc>
      </w:tr>
      <w:tr w14:paraId="50E50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exact"/>
          <w:jc w:val="center"/>
        </w:trPr>
        <w:tc>
          <w:tcPr>
            <w:tcW w:w="1973" w:type="dxa"/>
            <w:vMerge w:val="restart"/>
            <w:noWrap w:val="0"/>
            <w:vAlign w:val="center"/>
          </w:tcPr>
          <w:p w14:paraId="28DA12F3">
            <w:pPr>
              <w:jc w:val="center"/>
              <w:rPr>
                <w:rFonts w:hint="eastAsia" w:ascii="宋体" w:hAnsi="宋体" w:eastAsia="宋体" w:cs="宋体"/>
                <w:sz w:val="24"/>
                <w:szCs w:val="24"/>
              </w:rPr>
            </w:pPr>
            <w:r>
              <w:rPr>
                <w:rFonts w:hint="eastAsia" w:ascii="宋体" w:hAnsi="宋体" w:eastAsia="宋体" w:cs="宋体"/>
                <w:sz w:val="24"/>
                <w:szCs w:val="24"/>
              </w:rPr>
              <w:t>其他卫生机构</w:t>
            </w:r>
          </w:p>
        </w:tc>
        <w:tc>
          <w:tcPr>
            <w:tcW w:w="4656" w:type="dxa"/>
            <w:gridSpan w:val="2"/>
            <w:noWrap w:val="0"/>
            <w:vAlign w:val="center"/>
          </w:tcPr>
          <w:p w14:paraId="0F3E9461">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疗养院</w:t>
            </w:r>
          </w:p>
        </w:tc>
        <w:tc>
          <w:tcPr>
            <w:tcW w:w="2431" w:type="dxa"/>
            <w:noWrap w:val="0"/>
            <w:vAlign w:val="top"/>
          </w:tcPr>
          <w:p w14:paraId="701C63F3">
            <w:pPr>
              <w:jc w:val="left"/>
              <w:rPr>
                <w:rFonts w:hint="eastAsia" w:ascii="仿宋_GB2312" w:eastAsia="仿宋_GB2312"/>
                <w:sz w:val="24"/>
                <w:szCs w:val="24"/>
              </w:rPr>
            </w:pPr>
          </w:p>
        </w:tc>
      </w:tr>
      <w:tr w14:paraId="746DB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exact"/>
          <w:jc w:val="center"/>
        </w:trPr>
        <w:tc>
          <w:tcPr>
            <w:tcW w:w="1973" w:type="dxa"/>
            <w:vMerge w:val="continue"/>
            <w:noWrap w:val="0"/>
            <w:vAlign w:val="top"/>
          </w:tcPr>
          <w:p w14:paraId="6E5C4B17">
            <w:pPr>
              <w:jc w:val="left"/>
              <w:rPr>
                <w:rFonts w:hint="eastAsia" w:ascii="宋体" w:hAnsi="宋体" w:eastAsia="宋体" w:cs="宋体"/>
                <w:sz w:val="24"/>
                <w:szCs w:val="24"/>
              </w:rPr>
            </w:pPr>
          </w:p>
        </w:tc>
        <w:tc>
          <w:tcPr>
            <w:tcW w:w="4656" w:type="dxa"/>
            <w:gridSpan w:val="2"/>
            <w:noWrap w:val="0"/>
            <w:vAlign w:val="center"/>
          </w:tcPr>
          <w:p w14:paraId="0D62EA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临床检验中心（所、站）</w:t>
            </w:r>
          </w:p>
        </w:tc>
        <w:tc>
          <w:tcPr>
            <w:tcW w:w="2431" w:type="dxa"/>
            <w:noWrap w:val="0"/>
            <w:vAlign w:val="top"/>
          </w:tcPr>
          <w:p w14:paraId="7D6DD4F9">
            <w:pPr>
              <w:jc w:val="left"/>
              <w:rPr>
                <w:rFonts w:hint="eastAsia" w:ascii="仿宋_GB2312" w:eastAsia="仿宋_GB2312"/>
                <w:sz w:val="24"/>
                <w:szCs w:val="24"/>
              </w:rPr>
            </w:pPr>
          </w:p>
        </w:tc>
      </w:tr>
    </w:tbl>
    <w:p w14:paraId="6A0461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填表人：                            填表时间：</w:t>
      </w:r>
    </w:p>
    <w:p w14:paraId="7A07C5A0">
      <w:pPr>
        <w:pStyle w:val="12"/>
        <w:ind w:left="0" w:leftChars="0" w:firstLine="0" w:firstLineChars="0"/>
        <w:rPr>
          <w:rFonts w:hint="eastAsia" w:ascii="仿宋_GB2312" w:hAnsi="仿宋_GB2312" w:eastAsia="仿宋_GB2312" w:cs="仿宋_GB2312"/>
          <w:b/>
          <w:bCs/>
          <w:color w:val="000000"/>
          <w:kern w:val="0"/>
          <w:sz w:val="31"/>
          <w:szCs w:val="31"/>
          <w:lang w:val="en-US" w:eastAsia="zh-CN" w:bidi="ar"/>
        </w:rPr>
      </w:pPr>
      <w:r>
        <w:rPr>
          <w:rFonts w:hint="eastAsia" w:ascii="宋体" w:hAnsi="宋体" w:eastAsia="宋体" w:cs="宋体"/>
          <w:sz w:val="24"/>
          <w:szCs w:val="24"/>
          <w:lang w:eastAsia="zh-CN"/>
        </w:rPr>
        <w:t>备注：公立医院+民营医院=三级医院+二级医院+一级医院+未定级医院</w:t>
      </w:r>
      <w:r>
        <w:rPr>
          <w:rFonts w:hint="eastAsia" w:ascii="宋体" w:hAnsi="宋体" w:cs="宋体"/>
          <w:sz w:val="24"/>
          <w:szCs w:val="24"/>
          <w:lang w:eastAsia="zh-CN"/>
        </w:rPr>
        <w:t>。</w:t>
      </w:r>
    </w:p>
    <w:p w14:paraId="7193825E">
      <w:pPr>
        <w:pStyle w:val="10"/>
        <w:keepNext w:val="0"/>
        <w:keepLines w:val="0"/>
        <w:pageBreakBefore w:val="0"/>
        <w:kinsoku/>
        <w:wordWrap/>
        <w:overflowPunct/>
        <w:topLinePunct w:val="0"/>
        <w:autoSpaceDE/>
        <w:autoSpaceDN/>
        <w:bidi w:val="0"/>
        <w:snapToGrid/>
        <w:spacing w:after="0" w:line="560" w:lineRule="exact"/>
        <w:ind w:left="0" w:leftChars="0" w:firstLine="610" w:firstLineChars="196"/>
        <w:textAlignment w:val="auto"/>
        <w:rPr>
          <w:rFonts w:hint="eastAsia" w:ascii="仿宋_GB2312" w:hAnsi="仿宋_GB2312" w:eastAsia="仿宋_GB2312" w:cs="仿宋_GB2312"/>
          <w:b/>
          <w:bCs/>
          <w:color w:val="000000"/>
          <w:kern w:val="0"/>
          <w:sz w:val="31"/>
          <w:szCs w:val="31"/>
          <w:lang w:val="en-US" w:eastAsia="zh-CN" w:bidi="ar"/>
        </w:rPr>
      </w:pPr>
    </w:p>
    <w:p w14:paraId="7C2EC175">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354897EA">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7AD28733">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5D4552A0">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1F75AA24">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7FD6348D">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184F198F">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7FD35396">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5B424FD6">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785AC2E5">
      <w:pPr>
        <w:pStyle w:val="12"/>
        <w:tabs>
          <w:tab w:val="left" w:pos="4845"/>
        </w:tabs>
        <w:spacing w:after="0" w:line="800" w:lineRule="exact"/>
        <w:ind w:left="0" w:leftChars="0" w:firstLine="0" w:firstLineChars="0"/>
        <w:rPr>
          <w:rFonts w:hint="eastAsia" w:ascii="仿宋_GB2312" w:hAnsi="宋体" w:eastAsia="仿宋_GB2312" w:cs="宋体"/>
          <w:sz w:val="32"/>
          <w:szCs w:val="24"/>
        </w:rPr>
      </w:pPr>
    </w:p>
    <w:p w14:paraId="3F40AE41">
      <w:pPr>
        <w:pStyle w:val="12"/>
        <w:tabs>
          <w:tab w:val="left" w:pos="4845"/>
        </w:tabs>
        <w:spacing w:after="0" w:line="800" w:lineRule="exact"/>
        <w:ind w:left="0" w:leftChars="0" w:firstLine="0" w:firstLineChars="0"/>
        <w:rPr>
          <w:rFonts w:hint="default" w:ascii="仿宋_GB2312" w:hAnsi="宋体" w:eastAsia="仿宋_GB2312" w:cs="宋体"/>
          <w:sz w:val="32"/>
          <w:szCs w:val="24"/>
          <w:lang w:val="en-US" w:eastAsia="zh-CN"/>
        </w:rPr>
      </w:pPr>
      <w:r>
        <w:rPr>
          <w:rFonts w:hint="eastAsia" w:ascii="仿宋_GB2312" w:eastAsia="仿宋_GB2312"/>
          <w:sz w:val="28"/>
          <w:szCs w:val="28"/>
          <w:lang w:val="en-US" w:eastAsia="zh-CN"/>
        </w:rPr>
        <w:t xml:space="preserve">                                      </w:t>
      </w:r>
      <w:r>
        <w:rPr>
          <w:rFonts w:hint="eastAsia" w:ascii="仿宋_GB2312" w:eastAsia="仿宋_GB2312"/>
          <w:sz w:val="28"/>
          <w:szCs w:val="28"/>
          <w:lang w:eastAsia="zh-CN"/>
        </w:rPr>
        <w:tab/>
      </w:r>
    </w:p>
    <w:sectPr>
      <w:footerReference r:id="rId7" w:type="default"/>
      <w:pgSz w:w="11906" w:h="16838"/>
      <w:pgMar w:top="2098" w:right="1474" w:bottom="1984" w:left="1587" w:header="851" w:footer="1474"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Batang">
    <w:altName w:val="方正书宋_GBK"/>
    <w:panose1 w:val="02030600000101010101"/>
    <w:charset w:val="81"/>
    <w:family w:val="roman"/>
    <w:pitch w:val="default"/>
    <w:sig w:usb0="00000000" w:usb1="00000000" w:usb2="00000030" w:usb3="00000000" w:csb0="4008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CESI黑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DA4FE">
    <w:pPr>
      <w:pStyle w:val="8"/>
      <w:jc w:val="right"/>
      <w:rPr>
        <w:rFonts w:ascii="宋体"/>
        <w:sz w:val="28"/>
        <w:szCs w:val="28"/>
      </w:rPr>
    </w:pPr>
    <w:r>
      <w:rPr>
        <w:rFonts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CD604">
    <w:pPr>
      <w:pStyle w:val="8"/>
      <w:jc w:val="right"/>
      <w:rPr>
        <w:rFonts w:hint="eastAsia" w:ascii="宋体" w:hAnsi="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25</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38250">
    <w:pPr>
      <w:pStyle w:val="8"/>
      <w:rPr>
        <w:rFonts w:hint="eastAsia" w:ascii="宋体" w:hAnsi="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26</w:t>
    </w:r>
    <w:r>
      <w:rPr>
        <w:rFonts w:ascii="宋体" w:hAnsi="宋体"/>
        <w:sz w:val="28"/>
        <w:szCs w:val="28"/>
      </w:rPr>
      <w:fldChar w:fldCharType="end"/>
    </w:r>
    <w:r>
      <w:rPr>
        <w:rFonts w:hint="eastAsia" w:ascii="宋体" w:hAnsi="宋体"/>
        <w:sz w:val="28"/>
        <w:szCs w:val="2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C5CCD">
    <w:pPr>
      <w:pStyle w:val="8"/>
      <w:jc w:val="right"/>
      <w:rPr>
        <w:rFonts w:hint="eastAsia" w:ascii="宋体" w:hAnsi="宋体"/>
        <w:sz w:val="28"/>
        <w:szCs w:val="28"/>
        <w:lang w:eastAsia="zh-CN"/>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25</w:t>
    </w:r>
    <w:r>
      <w:rPr>
        <w:rFonts w:ascii="宋体" w:hAnsi="宋体"/>
        <w:sz w:val="28"/>
        <w:szCs w:val="28"/>
      </w:rPr>
      <w:fldChar w:fldCharType="end"/>
    </w:r>
    <w:r>
      <w:rPr>
        <w:rFonts w:hint="eastAsia"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6217F">
    <w:pPr>
      <w:pStyle w:val="9"/>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6CD28"/>
    <w:multiLevelType w:val="singleLevel"/>
    <w:tmpl w:val="49E6CD2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zNDMyZjlmMjJjOGY4NmExOTNmY2VkZjJmNDE3MDQifQ=="/>
  </w:docVars>
  <w:rsids>
    <w:rsidRoot w:val="00415F06"/>
    <w:rsid w:val="00032572"/>
    <w:rsid w:val="00062E49"/>
    <w:rsid w:val="000C2BDC"/>
    <w:rsid w:val="000E040A"/>
    <w:rsid w:val="001152E7"/>
    <w:rsid w:val="001236EB"/>
    <w:rsid w:val="0014530B"/>
    <w:rsid w:val="001460D0"/>
    <w:rsid w:val="0015244D"/>
    <w:rsid w:val="001563BE"/>
    <w:rsid w:val="001613BC"/>
    <w:rsid w:val="001C7820"/>
    <w:rsid w:val="001E5C9A"/>
    <w:rsid w:val="001E7106"/>
    <w:rsid w:val="00207F14"/>
    <w:rsid w:val="00210908"/>
    <w:rsid w:val="00235F73"/>
    <w:rsid w:val="00260556"/>
    <w:rsid w:val="00274593"/>
    <w:rsid w:val="00283A54"/>
    <w:rsid w:val="002B2253"/>
    <w:rsid w:val="002C27C5"/>
    <w:rsid w:val="002F1F4F"/>
    <w:rsid w:val="003372E6"/>
    <w:rsid w:val="003373C0"/>
    <w:rsid w:val="00346235"/>
    <w:rsid w:val="00357521"/>
    <w:rsid w:val="0038495B"/>
    <w:rsid w:val="00397CC7"/>
    <w:rsid w:val="003C17BE"/>
    <w:rsid w:val="003C4C2A"/>
    <w:rsid w:val="003E3086"/>
    <w:rsid w:val="004116C0"/>
    <w:rsid w:val="00415F06"/>
    <w:rsid w:val="00432786"/>
    <w:rsid w:val="00461167"/>
    <w:rsid w:val="00462BB4"/>
    <w:rsid w:val="00470EA0"/>
    <w:rsid w:val="004A2F28"/>
    <w:rsid w:val="004C0A72"/>
    <w:rsid w:val="004D49C2"/>
    <w:rsid w:val="004E1E2C"/>
    <w:rsid w:val="004F12EF"/>
    <w:rsid w:val="004F62D4"/>
    <w:rsid w:val="00515851"/>
    <w:rsid w:val="00515A47"/>
    <w:rsid w:val="005329D1"/>
    <w:rsid w:val="00547B8D"/>
    <w:rsid w:val="005527B0"/>
    <w:rsid w:val="00590C3B"/>
    <w:rsid w:val="005C0750"/>
    <w:rsid w:val="005E06D7"/>
    <w:rsid w:val="005F1B77"/>
    <w:rsid w:val="0061199C"/>
    <w:rsid w:val="00611D89"/>
    <w:rsid w:val="0061611B"/>
    <w:rsid w:val="00622E9E"/>
    <w:rsid w:val="00637655"/>
    <w:rsid w:val="00671FB2"/>
    <w:rsid w:val="006C5889"/>
    <w:rsid w:val="006E1CDD"/>
    <w:rsid w:val="00706FBF"/>
    <w:rsid w:val="00707B00"/>
    <w:rsid w:val="00756E9F"/>
    <w:rsid w:val="00767C20"/>
    <w:rsid w:val="00790EE9"/>
    <w:rsid w:val="007A7E96"/>
    <w:rsid w:val="007B4612"/>
    <w:rsid w:val="007C437D"/>
    <w:rsid w:val="007D4A87"/>
    <w:rsid w:val="007E7378"/>
    <w:rsid w:val="008253CA"/>
    <w:rsid w:val="00826399"/>
    <w:rsid w:val="008368F3"/>
    <w:rsid w:val="00852685"/>
    <w:rsid w:val="00870F04"/>
    <w:rsid w:val="008743A3"/>
    <w:rsid w:val="0087579B"/>
    <w:rsid w:val="008E21BE"/>
    <w:rsid w:val="00900367"/>
    <w:rsid w:val="00910295"/>
    <w:rsid w:val="00915C7B"/>
    <w:rsid w:val="00917797"/>
    <w:rsid w:val="0094477F"/>
    <w:rsid w:val="00987178"/>
    <w:rsid w:val="009C6404"/>
    <w:rsid w:val="009D4B19"/>
    <w:rsid w:val="00A12822"/>
    <w:rsid w:val="00A22321"/>
    <w:rsid w:val="00A3136E"/>
    <w:rsid w:val="00A41C48"/>
    <w:rsid w:val="00A65B99"/>
    <w:rsid w:val="00A8155C"/>
    <w:rsid w:val="00AB71A5"/>
    <w:rsid w:val="00B055BB"/>
    <w:rsid w:val="00B44206"/>
    <w:rsid w:val="00B64826"/>
    <w:rsid w:val="00BA44B1"/>
    <w:rsid w:val="00BB335D"/>
    <w:rsid w:val="00BC21A4"/>
    <w:rsid w:val="00BD6639"/>
    <w:rsid w:val="00C0463C"/>
    <w:rsid w:val="00C20E4B"/>
    <w:rsid w:val="00C27E34"/>
    <w:rsid w:val="00C32F4B"/>
    <w:rsid w:val="00C3315E"/>
    <w:rsid w:val="00C46544"/>
    <w:rsid w:val="00C70D6D"/>
    <w:rsid w:val="00C74700"/>
    <w:rsid w:val="00C92816"/>
    <w:rsid w:val="00C93129"/>
    <w:rsid w:val="00C9603E"/>
    <w:rsid w:val="00CA2A25"/>
    <w:rsid w:val="00CA3A41"/>
    <w:rsid w:val="00CC0F5E"/>
    <w:rsid w:val="00CD02BB"/>
    <w:rsid w:val="00CE5F67"/>
    <w:rsid w:val="00D0133C"/>
    <w:rsid w:val="00D33C49"/>
    <w:rsid w:val="00D42C3B"/>
    <w:rsid w:val="00D65F44"/>
    <w:rsid w:val="00D71306"/>
    <w:rsid w:val="00D770EF"/>
    <w:rsid w:val="00DF20FD"/>
    <w:rsid w:val="00E04D0E"/>
    <w:rsid w:val="00E07241"/>
    <w:rsid w:val="00E14DBB"/>
    <w:rsid w:val="00E2489D"/>
    <w:rsid w:val="00E26714"/>
    <w:rsid w:val="00E57186"/>
    <w:rsid w:val="00E813EB"/>
    <w:rsid w:val="00E86585"/>
    <w:rsid w:val="00EB1DF5"/>
    <w:rsid w:val="00EC1516"/>
    <w:rsid w:val="00EC1BEE"/>
    <w:rsid w:val="00F04CAB"/>
    <w:rsid w:val="00F071CB"/>
    <w:rsid w:val="00F43B21"/>
    <w:rsid w:val="00F464D2"/>
    <w:rsid w:val="00F46FD5"/>
    <w:rsid w:val="00F50582"/>
    <w:rsid w:val="00F87644"/>
    <w:rsid w:val="00FC04EB"/>
    <w:rsid w:val="00FC70EC"/>
    <w:rsid w:val="00FE25D7"/>
    <w:rsid w:val="00FE7583"/>
    <w:rsid w:val="04120D85"/>
    <w:rsid w:val="052B0EB9"/>
    <w:rsid w:val="082A784E"/>
    <w:rsid w:val="0AFF5820"/>
    <w:rsid w:val="0D6B16BA"/>
    <w:rsid w:val="0D856307"/>
    <w:rsid w:val="0F752F12"/>
    <w:rsid w:val="137837D5"/>
    <w:rsid w:val="13B55314"/>
    <w:rsid w:val="13BB37F4"/>
    <w:rsid w:val="16FFC224"/>
    <w:rsid w:val="17FF386D"/>
    <w:rsid w:val="1A3715E6"/>
    <w:rsid w:val="1B727F59"/>
    <w:rsid w:val="1DA8EE59"/>
    <w:rsid w:val="1F3FADD2"/>
    <w:rsid w:val="1FCB64D4"/>
    <w:rsid w:val="210514FD"/>
    <w:rsid w:val="22D07CE5"/>
    <w:rsid w:val="22E26A38"/>
    <w:rsid w:val="232D4655"/>
    <w:rsid w:val="245956F2"/>
    <w:rsid w:val="25F6FEA7"/>
    <w:rsid w:val="26612CB8"/>
    <w:rsid w:val="27F20D76"/>
    <w:rsid w:val="2B3F5249"/>
    <w:rsid w:val="2BFB3520"/>
    <w:rsid w:val="2CAF6062"/>
    <w:rsid w:val="2D1511F0"/>
    <w:rsid w:val="2DF726A6"/>
    <w:rsid w:val="2E03600B"/>
    <w:rsid w:val="2E7FD958"/>
    <w:rsid w:val="2EC37C82"/>
    <w:rsid w:val="2EFA9169"/>
    <w:rsid w:val="2F7B6D81"/>
    <w:rsid w:val="2FBE14B9"/>
    <w:rsid w:val="2FD75922"/>
    <w:rsid w:val="2FD89C3F"/>
    <w:rsid w:val="2FFE165B"/>
    <w:rsid w:val="30414ED3"/>
    <w:rsid w:val="31315F93"/>
    <w:rsid w:val="31AB1BE8"/>
    <w:rsid w:val="31BDD15F"/>
    <w:rsid w:val="327A4DD5"/>
    <w:rsid w:val="32F70381"/>
    <w:rsid w:val="33743B62"/>
    <w:rsid w:val="33DD432A"/>
    <w:rsid w:val="377A841A"/>
    <w:rsid w:val="37A62EC6"/>
    <w:rsid w:val="37AB1B1C"/>
    <w:rsid w:val="37EF75E1"/>
    <w:rsid w:val="383733B0"/>
    <w:rsid w:val="38EE0524"/>
    <w:rsid w:val="38F3BA12"/>
    <w:rsid w:val="39EA9107"/>
    <w:rsid w:val="39ED339E"/>
    <w:rsid w:val="3A764E7F"/>
    <w:rsid w:val="3BBA45F4"/>
    <w:rsid w:val="3BEF8FA3"/>
    <w:rsid w:val="3BFEE565"/>
    <w:rsid w:val="3BFF3F1E"/>
    <w:rsid w:val="3CFF81EC"/>
    <w:rsid w:val="3DDF24EF"/>
    <w:rsid w:val="3DFF4C8C"/>
    <w:rsid w:val="3F4C5993"/>
    <w:rsid w:val="3FAF8B4B"/>
    <w:rsid w:val="3FBD45F9"/>
    <w:rsid w:val="3FEDF1DD"/>
    <w:rsid w:val="3FEE393A"/>
    <w:rsid w:val="3FFF90F0"/>
    <w:rsid w:val="420435CD"/>
    <w:rsid w:val="432C0DCB"/>
    <w:rsid w:val="44F565B5"/>
    <w:rsid w:val="44FE0E05"/>
    <w:rsid w:val="460C1E54"/>
    <w:rsid w:val="49B84D77"/>
    <w:rsid w:val="4B1B5DCB"/>
    <w:rsid w:val="4B804908"/>
    <w:rsid w:val="4BB406B0"/>
    <w:rsid w:val="4BD7710E"/>
    <w:rsid w:val="4CE02E9E"/>
    <w:rsid w:val="4CF9F2A0"/>
    <w:rsid w:val="4D997C55"/>
    <w:rsid w:val="4F396F09"/>
    <w:rsid w:val="4F9FD861"/>
    <w:rsid w:val="512F4A5C"/>
    <w:rsid w:val="538F3C48"/>
    <w:rsid w:val="5567605E"/>
    <w:rsid w:val="57BC2B32"/>
    <w:rsid w:val="57FFAB61"/>
    <w:rsid w:val="5A6DC14D"/>
    <w:rsid w:val="5A9C1B97"/>
    <w:rsid w:val="5A9D232E"/>
    <w:rsid w:val="5BFF2BA3"/>
    <w:rsid w:val="5C480F32"/>
    <w:rsid w:val="5CEF446D"/>
    <w:rsid w:val="5D1D7018"/>
    <w:rsid w:val="5DE74534"/>
    <w:rsid w:val="5E415FFE"/>
    <w:rsid w:val="5E9F3EE8"/>
    <w:rsid w:val="5EBCFD1A"/>
    <w:rsid w:val="5EEBF2C1"/>
    <w:rsid w:val="5EFBC9F6"/>
    <w:rsid w:val="5F0F8871"/>
    <w:rsid w:val="5F77D3D4"/>
    <w:rsid w:val="5F935F4A"/>
    <w:rsid w:val="5F950DCA"/>
    <w:rsid w:val="5F9EF58D"/>
    <w:rsid w:val="5FAAA1A9"/>
    <w:rsid w:val="5FAF8989"/>
    <w:rsid w:val="5FBF49C8"/>
    <w:rsid w:val="5FD70238"/>
    <w:rsid w:val="5FDD0B60"/>
    <w:rsid w:val="5FDF7AE8"/>
    <w:rsid w:val="5FEF052B"/>
    <w:rsid w:val="5FFBB202"/>
    <w:rsid w:val="5FFFEBF3"/>
    <w:rsid w:val="608F71AB"/>
    <w:rsid w:val="61B74783"/>
    <w:rsid w:val="629F0438"/>
    <w:rsid w:val="658B3F4C"/>
    <w:rsid w:val="65DE197A"/>
    <w:rsid w:val="65DFA146"/>
    <w:rsid w:val="65E6F9FF"/>
    <w:rsid w:val="68ED6606"/>
    <w:rsid w:val="69361257"/>
    <w:rsid w:val="69F69727"/>
    <w:rsid w:val="6B136E01"/>
    <w:rsid w:val="6BB52E58"/>
    <w:rsid w:val="6BEBEF8B"/>
    <w:rsid w:val="6D5F5923"/>
    <w:rsid w:val="6DBB80C5"/>
    <w:rsid w:val="6DDA2238"/>
    <w:rsid w:val="6DEFF9C9"/>
    <w:rsid w:val="6E3F13A0"/>
    <w:rsid w:val="6E4A16E7"/>
    <w:rsid w:val="6EF772AE"/>
    <w:rsid w:val="6EF7DA29"/>
    <w:rsid w:val="6EFFCCE4"/>
    <w:rsid w:val="6F37C1BA"/>
    <w:rsid w:val="6F4ACC50"/>
    <w:rsid w:val="6F7B884C"/>
    <w:rsid w:val="6F7F28C7"/>
    <w:rsid w:val="6FAF5514"/>
    <w:rsid w:val="6FB3899A"/>
    <w:rsid w:val="6FBE794D"/>
    <w:rsid w:val="6FD51249"/>
    <w:rsid w:val="6FDB23E0"/>
    <w:rsid w:val="6FDFD7E7"/>
    <w:rsid w:val="6FE5CAFA"/>
    <w:rsid w:val="6FF731D3"/>
    <w:rsid w:val="6FFD6063"/>
    <w:rsid w:val="6FFDB451"/>
    <w:rsid w:val="6FFF2F6B"/>
    <w:rsid w:val="702E64E6"/>
    <w:rsid w:val="71BE3C1E"/>
    <w:rsid w:val="72E256EB"/>
    <w:rsid w:val="73BF800F"/>
    <w:rsid w:val="73CF664A"/>
    <w:rsid w:val="73DA3CDA"/>
    <w:rsid w:val="74F743EB"/>
    <w:rsid w:val="751768EB"/>
    <w:rsid w:val="75179CC7"/>
    <w:rsid w:val="75725AA8"/>
    <w:rsid w:val="757F1D70"/>
    <w:rsid w:val="75DDE78F"/>
    <w:rsid w:val="7637C171"/>
    <w:rsid w:val="76F9F1CF"/>
    <w:rsid w:val="772FE4D9"/>
    <w:rsid w:val="77886EA4"/>
    <w:rsid w:val="77AD80CB"/>
    <w:rsid w:val="77BE0822"/>
    <w:rsid w:val="77F7D2D3"/>
    <w:rsid w:val="77FB714A"/>
    <w:rsid w:val="77FBF4E6"/>
    <w:rsid w:val="786F4A5B"/>
    <w:rsid w:val="79FFC801"/>
    <w:rsid w:val="7A703CBD"/>
    <w:rsid w:val="7ACF22F0"/>
    <w:rsid w:val="7ADD6658"/>
    <w:rsid w:val="7AEC12C3"/>
    <w:rsid w:val="7AF9174C"/>
    <w:rsid w:val="7B920F38"/>
    <w:rsid w:val="7B9F19DF"/>
    <w:rsid w:val="7BBE3475"/>
    <w:rsid w:val="7BBEF7E7"/>
    <w:rsid w:val="7BE662B2"/>
    <w:rsid w:val="7BF7EE13"/>
    <w:rsid w:val="7BFA0A90"/>
    <w:rsid w:val="7BFD2002"/>
    <w:rsid w:val="7BFF32D8"/>
    <w:rsid w:val="7BFFA688"/>
    <w:rsid w:val="7CDD5572"/>
    <w:rsid w:val="7CF18393"/>
    <w:rsid w:val="7CFF2F13"/>
    <w:rsid w:val="7D679EDB"/>
    <w:rsid w:val="7D7BB033"/>
    <w:rsid w:val="7DE26453"/>
    <w:rsid w:val="7DEA009A"/>
    <w:rsid w:val="7DF744DC"/>
    <w:rsid w:val="7DF9FD80"/>
    <w:rsid w:val="7DFC1707"/>
    <w:rsid w:val="7DFFA338"/>
    <w:rsid w:val="7DFFE05B"/>
    <w:rsid w:val="7ED14C18"/>
    <w:rsid w:val="7ED67FB5"/>
    <w:rsid w:val="7EDA83E2"/>
    <w:rsid w:val="7EDD8D92"/>
    <w:rsid w:val="7EE6BB6F"/>
    <w:rsid w:val="7EFA5FEA"/>
    <w:rsid w:val="7F1FF9A8"/>
    <w:rsid w:val="7F753828"/>
    <w:rsid w:val="7F7FA93D"/>
    <w:rsid w:val="7FBC9BBD"/>
    <w:rsid w:val="7FCB442A"/>
    <w:rsid w:val="7FEDC023"/>
    <w:rsid w:val="7FEF3DCF"/>
    <w:rsid w:val="7FEF84B4"/>
    <w:rsid w:val="7FEF96A1"/>
    <w:rsid w:val="7FF275BC"/>
    <w:rsid w:val="7FFB290F"/>
    <w:rsid w:val="7FFDC9F0"/>
    <w:rsid w:val="919EF2D1"/>
    <w:rsid w:val="96EE9745"/>
    <w:rsid w:val="977D6C2B"/>
    <w:rsid w:val="983B1B31"/>
    <w:rsid w:val="9F75DDE6"/>
    <w:rsid w:val="A5DFCBE4"/>
    <w:rsid w:val="A7D14404"/>
    <w:rsid w:val="AB9C94C2"/>
    <w:rsid w:val="ABFF9658"/>
    <w:rsid w:val="AD66C729"/>
    <w:rsid w:val="AF5718F3"/>
    <w:rsid w:val="AF57F0D5"/>
    <w:rsid w:val="AF7D4AF4"/>
    <w:rsid w:val="AFDFC127"/>
    <w:rsid w:val="B3F7BEC3"/>
    <w:rsid w:val="B79EA616"/>
    <w:rsid w:val="B7BFABD1"/>
    <w:rsid w:val="B7DF1C76"/>
    <w:rsid w:val="B7E308C0"/>
    <w:rsid w:val="B96CC02C"/>
    <w:rsid w:val="BAB2B8BD"/>
    <w:rsid w:val="BABFFFD5"/>
    <w:rsid w:val="BAFDF045"/>
    <w:rsid w:val="BB3F71E2"/>
    <w:rsid w:val="BB7FC96E"/>
    <w:rsid w:val="BBBD77A7"/>
    <w:rsid w:val="BDB36F58"/>
    <w:rsid w:val="BDFE4B92"/>
    <w:rsid w:val="BE7FDE83"/>
    <w:rsid w:val="BEDF3992"/>
    <w:rsid w:val="BF7B6280"/>
    <w:rsid w:val="BFDF09BD"/>
    <w:rsid w:val="BFF6C85E"/>
    <w:rsid w:val="BFFB3D81"/>
    <w:rsid w:val="BFFECA4D"/>
    <w:rsid w:val="BFFEF9ED"/>
    <w:rsid w:val="BFFFB6C9"/>
    <w:rsid w:val="D39D5ABF"/>
    <w:rsid w:val="D3FBE094"/>
    <w:rsid w:val="D7AFD5E9"/>
    <w:rsid w:val="D7E4C692"/>
    <w:rsid w:val="D7FB6047"/>
    <w:rsid w:val="D9DD84A4"/>
    <w:rsid w:val="D9FBC1E3"/>
    <w:rsid w:val="DB7E5B6E"/>
    <w:rsid w:val="DB7F4AD1"/>
    <w:rsid w:val="DBBB7D24"/>
    <w:rsid w:val="DBBF5A11"/>
    <w:rsid w:val="DBDF44F8"/>
    <w:rsid w:val="DBEF1D28"/>
    <w:rsid w:val="DBFB52AB"/>
    <w:rsid w:val="DD7E462C"/>
    <w:rsid w:val="DDB85A56"/>
    <w:rsid w:val="DE7DC940"/>
    <w:rsid w:val="DEA7F08E"/>
    <w:rsid w:val="DEBF9967"/>
    <w:rsid w:val="DEEA3898"/>
    <w:rsid w:val="DEFEFD52"/>
    <w:rsid w:val="DF4B24BD"/>
    <w:rsid w:val="DF5B8CCF"/>
    <w:rsid w:val="DF7F3ACB"/>
    <w:rsid w:val="DFDBD1DF"/>
    <w:rsid w:val="DFEF4FF2"/>
    <w:rsid w:val="E6A37CA7"/>
    <w:rsid w:val="E6FDFEDD"/>
    <w:rsid w:val="E75D125E"/>
    <w:rsid w:val="E7B70392"/>
    <w:rsid w:val="E7F3F601"/>
    <w:rsid w:val="E7FD3AAA"/>
    <w:rsid w:val="E9CF8A5A"/>
    <w:rsid w:val="ECFFD668"/>
    <w:rsid w:val="EF2BF625"/>
    <w:rsid w:val="EF3F0D7A"/>
    <w:rsid w:val="EFB9E4FC"/>
    <w:rsid w:val="EFBEE518"/>
    <w:rsid w:val="EFD751CB"/>
    <w:rsid w:val="EFEBD59F"/>
    <w:rsid w:val="EFF61CA9"/>
    <w:rsid w:val="EFF74AF6"/>
    <w:rsid w:val="F3BF5D62"/>
    <w:rsid w:val="F3DEA1DE"/>
    <w:rsid w:val="F47EF0E7"/>
    <w:rsid w:val="F4BFCF24"/>
    <w:rsid w:val="F4FE8854"/>
    <w:rsid w:val="F5DF370A"/>
    <w:rsid w:val="F6414BCD"/>
    <w:rsid w:val="F65E753B"/>
    <w:rsid w:val="F6FECDF0"/>
    <w:rsid w:val="F75FA371"/>
    <w:rsid w:val="F7AB56CB"/>
    <w:rsid w:val="F7B4454C"/>
    <w:rsid w:val="F7DD0455"/>
    <w:rsid w:val="F7EB9FF8"/>
    <w:rsid w:val="F7FC7D9F"/>
    <w:rsid w:val="F8DC1EA5"/>
    <w:rsid w:val="F9BF0BD7"/>
    <w:rsid w:val="FADFC266"/>
    <w:rsid w:val="FAFD3F3B"/>
    <w:rsid w:val="FB3FAD41"/>
    <w:rsid w:val="FB7FB854"/>
    <w:rsid w:val="FBB78735"/>
    <w:rsid w:val="FBBB1CEF"/>
    <w:rsid w:val="FBFD0467"/>
    <w:rsid w:val="FBFFEC5A"/>
    <w:rsid w:val="FC710F28"/>
    <w:rsid w:val="FCF9890A"/>
    <w:rsid w:val="FCFB551C"/>
    <w:rsid w:val="FD5DEBFF"/>
    <w:rsid w:val="FD7B16AD"/>
    <w:rsid w:val="FD928353"/>
    <w:rsid w:val="FD9BB6F2"/>
    <w:rsid w:val="FDB3C0F5"/>
    <w:rsid w:val="FDD7CB8E"/>
    <w:rsid w:val="FDDA13BE"/>
    <w:rsid w:val="FDED9214"/>
    <w:rsid w:val="FE7B0D3F"/>
    <w:rsid w:val="FE7F474E"/>
    <w:rsid w:val="FEB2DE9A"/>
    <w:rsid w:val="FEBEF525"/>
    <w:rsid w:val="FECF065F"/>
    <w:rsid w:val="FEDDC9F6"/>
    <w:rsid w:val="FEF53E6D"/>
    <w:rsid w:val="FEFB9EF5"/>
    <w:rsid w:val="FEFDBE3B"/>
    <w:rsid w:val="FEFF442E"/>
    <w:rsid w:val="FEFFAD6E"/>
    <w:rsid w:val="FF1F67BB"/>
    <w:rsid w:val="FF3FB2E0"/>
    <w:rsid w:val="FF7ECAED"/>
    <w:rsid w:val="FF7F151B"/>
    <w:rsid w:val="FF7FF908"/>
    <w:rsid w:val="FF896202"/>
    <w:rsid w:val="FF93793C"/>
    <w:rsid w:val="FF9D2306"/>
    <w:rsid w:val="FFAA8F7E"/>
    <w:rsid w:val="FFBDDC00"/>
    <w:rsid w:val="FFBE14B3"/>
    <w:rsid w:val="FFBF338E"/>
    <w:rsid w:val="FFBFBD25"/>
    <w:rsid w:val="FFCEF1AD"/>
    <w:rsid w:val="FFDD1321"/>
    <w:rsid w:val="FFDE40F9"/>
    <w:rsid w:val="FFE73ACB"/>
    <w:rsid w:val="FFED4B29"/>
    <w:rsid w:val="FFED7A61"/>
    <w:rsid w:val="FFEF0312"/>
    <w:rsid w:val="FFEFD092"/>
    <w:rsid w:val="FFFE8D45"/>
    <w:rsid w:val="FFFE9D0D"/>
    <w:rsid w:val="FFFF7CEE"/>
    <w:rsid w:val="FFFF826A"/>
    <w:rsid w:val="FFFF8D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rPr>
  </w:style>
  <w:style w:type="paragraph" w:styleId="3">
    <w:name w:val="Body Text"/>
    <w:basedOn w:val="1"/>
    <w:qFormat/>
    <w:uiPriority w:val="0"/>
    <w:pPr>
      <w:spacing w:after="120" w:afterLines="0" w:afterAutospacing="0"/>
    </w:pPr>
  </w:style>
  <w:style w:type="paragraph" w:styleId="4">
    <w:name w:val="Body Text Indent"/>
    <w:basedOn w:val="1"/>
    <w:qFormat/>
    <w:uiPriority w:val="0"/>
    <w:pPr>
      <w:spacing w:after="120"/>
      <w:ind w:left="420" w:leftChars="200"/>
    </w:pPr>
    <w:rPr>
      <w:rFonts w:ascii="Calibri" w:hAnsi="Calibri"/>
    </w:rPr>
  </w:style>
  <w:style w:type="paragraph" w:styleId="5">
    <w:name w:val="Plain Text"/>
    <w:basedOn w:val="1"/>
    <w:link w:val="21"/>
    <w:qFormat/>
    <w:uiPriority w:val="99"/>
    <w:rPr>
      <w:rFonts w:ascii="宋体" w:hAnsi="Courier New" w:cs="Courier New"/>
      <w:szCs w:val="21"/>
    </w:rPr>
  </w:style>
  <w:style w:type="paragraph" w:styleId="6">
    <w:name w:val="Date"/>
    <w:basedOn w:val="1"/>
    <w:next w:val="1"/>
    <w:link w:val="24"/>
    <w:unhideWhenUsed/>
    <w:qFormat/>
    <w:uiPriority w:val="99"/>
    <w:pPr>
      <w:ind w:left="100" w:leftChars="2500"/>
    </w:pPr>
  </w:style>
  <w:style w:type="paragraph" w:styleId="7">
    <w:name w:val="Balloon Text"/>
    <w:basedOn w:val="1"/>
    <w:link w:val="23"/>
    <w:unhideWhenUsed/>
    <w:qFormat/>
    <w:uiPriority w:val="99"/>
    <w:rPr>
      <w:sz w:val="18"/>
      <w:szCs w:val="18"/>
    </w:rPr>
  </w:style>
  <w:style w:type="paragraph" w:styleId="8">
    <w:name w:val="footer"/>
    <w:basedOn w:val="1"/>
    <w:link w:val="22"/>
    <w:unhideWhenUsed/>
    <w:qFormat/>
    <w:uiPriority w:val="99"/>
    <w:pPr>
      <w:tabs>
        <w:tab w:val="center" w:pos="4153"/>
        <w:tab w:val="right" w:pos="8306"/>
      </w:tabs>
      <w:snapToGrid w:val="0"/>
      <w:jc w:val="left"/>
    </w:pPr>
    <w:rPr>
      <w:kern w:val="0"/>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0">
    <w:name w:val="Body Text Indent 3"/>
    <w:basedOn w:val="1"/>
    <w:link w:val="18"/>
    <w:qFormat/>
    <w:uiPriority w:val="99"/>
    <w:pPr>
      <w:spacing w:after="120"/>
      <w:ind w:left="420" w:leftChars="200"/>
    </w:pPr>
    <w:rPr>
      <w:sz w:val="16"/>
      <w:szCs w:val="16"/>
    </w:rPr>
  </w:style>
  <w:style w:type="paragraph" w:styleId="11">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2">
    <w:name w:val="Body Text First Indent 2"/>
    <w:basedOn w:val="4"/>
    <w:qFormat/>
    <w:uiPriority w:val="0"/>
    <w:pPr>
      <w:ind w:firstLine="420" w:firstLineChars="200"/>
    </w:pPr>
  </w:style>
  <w:style w:type="table" w:styleId="14">
    <w:name w:val="Table Grid"/>
    <w:basedOn w:val="13"/>
    <w:qFormat/>
    <w:uiPriority w:val="9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articletitle"/>
    <w:qFormat/>
    <w:uiPriority w:val="99"/>
  </w:style>
  <w:style w:type="character" w:customStyle="1" w:styleId="17">
    <w:name w:val="页眉 Char"/>
    <w:link w:val="9"/>
    <w:qFormat/>
    <w:uiPriority w:val="99"/>
    <w:rPr>
      <w:sz w:val="18"/>
      <w:szCs w:val="18"/>
    </w:rPr>
  </w:style>
  <w:style w:type="character" w:customStyle="1" w:styleId="18">
    <w:name w:val="正文文本缩进 3 Char"/>
    <w:link w:val="10"/>
    <w:qFormat/>
    <w:uiPriority w:val="99"/>
    <w:rPr>
      <w:kern w:val="2"/>
      <w:sz w:val="16"/>
      <w:szCs w:val="16"/>
    </w:rPr>
  </w:style>
  <w:style w:type="character" w:customStyle="1" w:styleId="19">
    <w:name w:val="font61"/>
    <w:basedOn w:val="15"/>
    <w:qFormat/>
    <w:uiPriority w:val="0"/>
    <w:rPr>
      <w:rFonts w:hint="default" w:ascii="楷体_GB2312" w:eastAsia="楷体_GB2312" w:cs="楷体_GB2312"/>
      <w:color w:val="000000"/>
      <w:sz w:val="18"/>
      <w:szCs w:val="18"/>
      <w:u w:val="none"/>
    </w:rPr>
  </w:style>
  <w:style w:type="character" w:customStyle="1" w:styleId="20">
    <w:name w:val="font71"/>
    <w:basedOn w:val="15"/>
    <w:qFormat/>
    <w:uiPriority w:val="0"/>
    <w:rPr>
      <w:rFonts w:hint="default" w:ascii="Times New Roman" w:hAnsi="Times New Roman" w:cs="Times New Roman"/>
      <w:color w:val="000000"/>
      <w:sz w:val="18"/>
      <w:szCs w:val="18"/>
      <w:u w:val="none"/>
    </w:rPr>
  </w:style>
  <w:style w:type="character" w:customStyle="1" w:styleId="21">
    <w:name w:val="纯文本 Char"/>
    <w:link w:val="5"/>
    <w:qFormat/>
    <w:uiPriority w:val="99"/>
    <w:rPr>
      <w:rFonts w:ascii="宋体" w:hAnsi="Courier New" w:cs="Courier New"/>
      <w:kern w:val="2"/>
      <w:sz w:val="21"/>
      <w:szCs w:val="21"/>
    </w:rPr>
  </w:style>
  <w:style w:type="character" w:customStyle="1" w:styleId="22">
    <w:name w:val="页脚 Char"/>
    <w:link w:val="8"/>
    <w:qFormat/>
    <w:uiPriority w:val="99"/>
    <w:rPr>
      <w:sz w:val="18"/>
      <w:szCs w:val="18"/>
    </w:rPr>
  </w:style>
  <w:style w:type="character" w:customStyle="1" w:styleId="23">
    <w:name w:val="批注框文本 Char"/>
    <w:link w:val="7"/>
    <w:semiHidden/>
    <w:qFormat/>
    <w:uiPriority w:val="99"/>
    <w:rPr>
      <w:kern w:val="2"/>
      <w:sz w:val="18"/>
      <w:szCs w:val="18"/>
    </w:rPr>
  </w:style>
  <w:style w:type="character" w:customStyle="1" w:styleId="24">
    <w:name w:val="日期 Char"/>
    <w:link w:val="6"/>
    <w:semiHidden/>
    <w:qFormat/>
    <w:uiPriority w:val="99"/>
    <w:rPr>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5725</Words>
  <Characters>5824</Characters>
  <Lines>93</Lines>
  <Paragraphs>26</Paragraphs>
  <TotalTime>14</TotalTime>
  <ScaleCrop>false</ScaleCrop>
  <LinksUpToDate>false</LinksUpToDate>
  <CharactersWithSpaces>6155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2019-08-27T08:41:00Z</dcterms:created>
  <dc:creator>微软用户</dc:creator>
  <cp:lastModifiedBy>kylin</cp:lastModifiedBy>
  <cp:lastPrinted>2025-03-27T16:22:00Z</cp:lastPrinted>
  <dcterms:modified xsi:type="dcterms:W3CDTF">2026-07-24T17:31:44Z</dcterms:modified>
  <dc:title>三市监文〔2024〕 号</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eyJoZGlkIjoiZjRkODg2MmE4OTRjNmI5MGEyY2Y1NjU1ODdhNmIzOWQiLCJ1c2VySWQiOiIxMDQwNzU0NDg4In0=</vt:lpwstr>
  </property>
  <property fmtid="{D5CDD505-2E9C-101B-9397-08002B2CF9AE}" pid="4" name="ICV">
    <vt:lpwstr>0EBE55F9E8C1447EB128E03E418E44FF_13</vt:lpwstr>
  </property>
</Properties>
</file>