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三门峡华为医药零售连锁有限公司九玺台店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91411202MAEB3EPN4E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河南省三门峡市湖滨区大岭南路九玺台9号楼103号商铺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豫三药监械经营备20250004号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22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新分类目录：第二类：01，02，04，06，07，08，09，10，11，12，14，15，16，17，18，19，20，21，22。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DDF3A88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2026-07-06T15:58:26Z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