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标宋" w:hAnsi="文星标宋" w:eastAsia="文星标宋" w:cs="文星标宋"/>
          <w:sz w:val="44"/>
          <w:szCs w:val="44"/>
        </w:rPr>
      </w:pPr>
      <w:r>
        <w:rPr>
          <w:rFonts w:hint="eastAsia" w:ascii="文星标宋" w:hAnsi="文星标宋" w:eastAsia="文星标宋" w:cs="文星标宋"/>
          <w:sz w:val="44"/>
          <w:szCs w:val="44"/>
        </w:rPr>
        <w:t>医疗器械网络销售案信息表</w:t>
      </w:r>
    </w:p>
    <w:p>
      <w:pPr>
        <w:pStyle w:val="2"/>
        <w:rPr>
          <w:rFonts w:hint="eastAsia" w:ascii="仿宋_GB2312" w:hAnsi="仿宋_GB2312" w:eastAsia="仿宋_GB2312" w:cs="仿宋_GB2312"/>
          <w:b w:val="0"/>
          <w:bCs w:val="0"/>
          <w:color w:val="000000"/>
          <w:kern w:val="2"/>
          <w:sz w:val="21"/>
          <w:szCs w:val="21"/>
          <w:lang w:val="en-US" w:eastAsia="zh-CN" w:bidi="ar-SA"/>
        </w:rPr>
      </w:pPr>
    </w:p>
    <w:tbl>
      <w:tblPr>
        <w:tblStyle w:val="8"/>
        <w:tblpPr w:leftFromText="180" w:rightFromText="180" w:vertAnchor="page" w:horzAnchor="page" w:tblpX="1248" w:tblpY="2377"/>
        <w:tblOverlap w:val="never"/>
        <w:tblW w:w="967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105" w:type="dxa"/>
          <w:bottom w:w="0" w:type="dxa"/>
          <w:right w:w="105" w:type="dxa"/>
        </w:tblCellMar>
      </w:tblPr>
      <w:tblGrid>
        <w:gridCol w:w="1540"/>
        <w:gridCol w:w="1095"/>
        <w:gridCol w:w="2086"/>
        <w:gridCol w:w="495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5" w:type="dxa"/>
            <w:bottom w:w="0" w:type="dxa"/>
            <w:right w:w="105" w:type="dxa"/>
          </w:tblCellMar>
        </w:tblPrEx>
        <w:trPr>
          <w:trHeight w:val="540" w:hRule="atLeast"/>
        </w:trPr>
        <w:tc>
          <w:tcPr>
            <w:tcW w:w="1540"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网络</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销售类型</w:t>
            </w:r>
          </w:p>
        </w:tc>
        <w:tc>
          <w:tcPr>
            <w:tcW w:w="813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right="0" w:firstLine="105"/>
              <w:jc w:val="center"/>
              <w:rPr>
                <w:rFonts w:hint="default" w:ascii="仿宋_GB2312" w:hAnsi="仿宋_GB2312" w:eastAsia="仿宋_GB2312" w:cs="仿宋_GB2312"/>
                <w:b w:val="0"/>
                <w:bCs w:val="0"/>
                <w:color w:val="000000"/>
                <w:kern w:val="2"/>
                <w:sz w:val="21"/>
                <w:szCs w:val="21"/>
                <w:lang w:val="en-US" w:eastAsia="zh-CN" w:bidi="ar-SA"/>
              </w:rPr>
            </w:pPr>
            <w:r>
              <w:rPr>
                <w:rFonts w:hint="eastAsia" w:ascii="Calibri" w:hAnsi="Calibri" w:cs="Calibri"/>
                <w:color w:val="000000"/>
                <w:sz w:val="22"/>
                <w:szCs w:val="22"/>
                <w:lang w:val="en-US" w:eastAsia="zh-CN"/>
              </w:rPr>
              <w:t>入驻类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35" w:hRule="atLeast"/>
        </w:trPr>
        <w:tc>
          <w:tcPr>
            <w:tcW w:w="15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  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信  息</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企业</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名称</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河南仁仁大药房有限公司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37"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住  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河南省三门峡市湖滨区会兴街道崤槐大道与圆通路交叉口西北角华为物流园2-1号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社会信用代码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91411202MADAWDGX16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场所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河南省三门峡市湖滨区会兴街道崤槐大道与圆通路交叉口西北角华为物流园2-1号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50"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库房</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地址</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60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主体</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业态</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default"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零售</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655"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r>
              <w:rPr>
                <w:rFonts w:hint="eastAsia" w:ascii="Calibri" w:hAnsi="Calibri" w:cs="Calibri"/>
                <w:color w:val="000000"/>
                <w:sz w:val="22"/>
                <w:szCs w:val="22"/>
                <w:lang w:val="en-US" w:eastAsia="zh-CN"/>
              </w:rPr>
              <w:t>医疗器械经营许可证（备案凭证）编号</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 xml:space="preserve">豫三药监械经营备20240028号        </w:t>
            </w:r>
          </w:p>
          <w:p>
            <w:pPr>
              <w:pStyle w:val="7"/>
              <w:keepNext w:val="0"/>
              <w:keepLines w:val="0"/>
              <w:widowControl/>
              <w:suppressLineNumbers w:val="0"/>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豫三药监械经营许20240030号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084" w:hRule="atLeas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color w:val="000000"/>
                <w:sz w:val="22"/>
                <w:szCs w:val="22"/>
                <w:lang w:val="en-US" w:eastAsia="zh-CN"/>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经营</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color w:val="000000"/>
                <w:sz w:val="22"/>
                <w:szCs w:val="22"/>
                <w:lang w:val="en-US" w:eastAsia="zh-CN"/>
              </w:rPr>
            </w:pPr>
            <w:r>
              <w:rPr>
                <w:rFonts w:hint="default" w:ascii="Calibri" w:hAnsi="Calibri" w:cs="Calibri"/>
                <w:color w:val="000000"/>
                <w:sz w:val="22"/>
                <w:szCs w:val="22"/>
                <w:lang w:val="en-US" w:eastAsia="zh-CN"/>
              </w:rPr>
              <w:t>范围</w:t>
            </w: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left"/>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二类：6801，6802，6803，6804，6805，6806，6807，6808，6809，6810，6812，6813，6815，6816，6820，6821，6822，6823，6824，6825，6826，6827，6828，6830，6831，6832，6833，6834，6840临床检验分析仪器及诊断试剂（诊断试剂不需低温冷藏运输贮存），6841，6845，6846，6854，6855，6856，6857，6858，6863，6864，6865，6866，6870；</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新分类目录：第二类：01，02，03，04，05，06，07，08，09，10，11，12，14，15，16，17，18，19，20，21，22</w:t>
            </w:r>
            <w:r>
              <w:rPr>
                <w:rFonts w:hint="eastAsia" w:ascii="仿宋_GB2312" w:hAnsi="仿宋_GB2312" w:eastAsia="仿宋_GB2312" w:cs="仿宋_GB2312"/>
                <w:b w:val="0"/>
                <w:bCs w:val="0"/>
                <w:color w:val="000000"/>
                <w:kern w:val="2"/>
                <w:sz w:val="24"/>
                <w:szCs w:val="24"/>
                <w:lang w:val="en-US" w:eastAsia="zh-CN" w:bidi="ar-SA"/>
              </w:rPr>
              <w:t>。</w:t>
            </w:r>
          </w:p>
          <w:p>
            <w:pPr>
              <w:pStyle w:val="7"/>
              <w:keepNext w:val="0"/>
              <w:keepLines w:val="0"/>
              <w:pageBreakBefore w:val="0"/>
              <w:widowControl/>
              <w:suppressLineNumbers w:val="0"/>
              <w:tabs>
                <w:tab w:val="left" w:pos="2586"/>
              </w:tabs>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原分类目录：第三类：6804眼科手术器械，6807胸腔心血管外科手术器械，6815注射穿刺器械， 6821医用电子仪器设备，6822医用光学器具、仪器及内窥镜设备，6823医用超声仪器及有关设备，6824医用激光仪器设备，6825医用高频仪器设备，6826物理治疗及康复设备，6828医用磁共振设备，6830医用X射线设备，6831医用X射线附属设备及部件，6832医用高能射线设备，6833医用核素设备，6834医用射线防护用品、装置，6840临床检验分析仪器及诊断试剂（诊断试剂不需低温冷藏运输贮存），6845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4456"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auto" w:sz="4"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auto" w:sz="4"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外循环及血液处理设备，6846植入材料和人工器官，6854手术室、急救室、诊疗室设备及器具， 6858医用冷疗、低温、冷藏设备及器具，6863口腔科材料，6864医用卫生材料及敷料，6865医用缝合材料及粘合剂，6866医用高分子材料及制品，6870软件，6877介入器材；</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default"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新分类目录：第三类：01有源手术器械，02无源手术器械，03神经和心血管手术器械，04骨科手术器械，05放射治疗器械，06医用成像器械，07医用诊察和监护器械，08呼吸、麻醉和急救器械，09物理治疗器械，10输血、透析和体外循环器械， 12有源植入器械，13无源植入器械，14注输、护理和防护器械， 16眼科器械，17口腔科器械，18妇产科、辅助生殖和避孕器械， 20中医器械，21医用软件，22临床检验器械。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105" w:type="dxa"/>
            <w:bottom w:w="0" w:type="dxa"/>
            <w:right w:w="105" w:type="dxa"/>
          </w:tblCellMar>
        </w:tblPrEx>
        <w:trPr>
          <w:trHeight w:val="1756"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法定代表人</w:t>
            </w:r>
          </w:p>
        </w:tc>
        <w:tc>
          <w:tcPr>
            <w:tcW w:w="7039" w:type="dxa"/>
            <w:gridSpan w:val="2"/>
            <w:tcBorders>
              <w:top w:val="single" w:color="auto" w:sz="4"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王  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PrEx>
        <w:trPr>
          <w:trHeight w:val="1515" w:hRule="exact"/>
        </w:trPr>
        <w:tc>
          <w:tcPr>
            <w:tcW w:w="15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jc w:val="center"/>
              <w:textAlignment w:val="auto"/>
              <w:outlineLvl w:val="9"/>
              <w:rPr>
                <w:rFonts w:hint="eastAsia" w:ascii="Calibri" w:hAnsi="Calibri" w:cs="Calibri" w:eastAsiaTheme="minorEastAsia"/>
                <w:color w:val="000000"/>
                <w:kern w:val="0"/>
                <w:sz w:val="22"/>
                <w:szCs w:val="22"/>
                <w:lang w:val="en-US" w:eastAsia="zh-CN" w:bidi="ar"/>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r>
              <w:rPr>
                <w:rFonts w:hint="default" w:ascii="Calibri" w:hAnsi="Calibri" w:cs="Calibri" w:eastAsiaTheme="minorEastAsia"/>
                <w:color w:val="000000"/>
                <w:kern w:val="0"/>
                <w:sz w:val="22"/>
                <w:szCs w:val="22"/>
                <w:lang w:val="en-US" w:eastAsia="zh-CN" w:bidi="ar"/>
              </w:rPr>
              <w:t>企业负责人</w:t>
            </w: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default" w:ascii="Calibri" w:hAnsi="Calibri" w:cs="Calibri" w:eastAsiaTheme="minorEastAsia"/>
                <w:color w:val="000000"/>
                <w:kern w:val="0"/>
                <w:sz w:val="22"/>
                <w:szCs w:val="22"/>
                <w:lang w:val="en-US" w:eastAsia="zh-CN" w:bidi="ar"/>
              </w:rPr>
            </w:pPr>
          </w:p>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default" w:ascii="Calibri" w:hAnsi="Calibri" w:cs="Calibri" w:eastAsiaTheme="minorEastAsia"/>
                <w:color w:val="000000"/>
                <w:kern w:val="0"/>
                <w:sz w:val="22"/>
                <w:szCs w:val="22"/>
                <w:lang w:val="en-US" w:eastAsia="zh-CN" w:bidi="ar"/>
              </w:rPr>
            </w:pPr>
          </w:p>
        </w:tc>
        <w:tc>
          <w:tcPr>
            <w:tcW w:w="703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7"/>
              <w:keepNext w:val="0"/>
              <w:keepLines w:val="0"/>
              <w:widowControl/>
              <w:suppressLineNumbers w:val="0"/>
              <w:shd w:val="clear"/>
              <w:spacing w:before="0" w:beforeAutospacing="0" w:after="0" w:afterAutospacing="0" w:line="315" w:lineRule="atLeast"/>
              <w:ind w:left="0" w:leftChars="0" w:right="0" w:rightChars="0" w:firstLine="105" w:firstLineChars="0"/>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何  奇</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992" w:hRule="atLeast"/>
        </w:trPr>
        <w:tc>
          <w:tcPr>
            <w:tcW w:w="1540"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right="0"/>
              <w:jc w:val="center"/>
              <w:textAlignment w:val="auto"/>
              <w:outlineLvl w:val="9"/>
              <w:rPr>
                <w:rFonts w:hint="eastAsia" w:ascii="仿宋_GB2312" w:hAnsi="仿宋_GB2312" w:eastAsia="仿宋_GB2312" w:cs="仿宋_GB2312"/>
                <w:color w:val="000000"/>
                <w:sz w:val="24"/>
                <w:szCs w:val="24"/>
              </w:rPr>
            </w:pPr>
            <w:r>
              <w:rPr>
                <w:rFonts w:hint="eastAsia" w:ascii="Calibri" w:hAnsi="Calibri" w:cs="Calibri"/>
                <w:color w:val="000000"/>
                <w:sz w:val="22"/>
                <w:szCs w:val="22"/>
              </w:rPr>
              <w:t>医疗器械网络交易服务第三方平台信息（入驻类）</w:t>
            </w: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医疗器械网络交易服务第三方平台名称</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pStyle w:val="7"/>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Calibri" w:hAnsi="Calibri" w:cs="Calibri"/>
                <w:color w:val="000000"/>
                <w:sz w:val="24"/>
                <w:szCs w:val="24"/>
              </w:rPr>
            </w:pPr>
            <w:r>
              <w:rPr>
                <w:rFonts w:hint="eastAsia" w:ascii="Calibri" w:hAnsi="Calibri" w:cs="Calibri"/>
                <w:color w:val="000000"/>
                <w:sz w:val="24"/>
                <w:szCs w:val="24"/>
              </w:rPr>
              <w:t>医疗器械网络交易服务第三方平台备案凭证编号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759"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val="0"/>
                <w:bCs w:val="0"/>
                <w:color w:val="000000"/>
                <w:kern w:val="2"/>
                <w:sz w:val="24"/>
                <w:szCs w:val="24"/>
                <w:lang w:val="en-US" w:eastAsia="zh-CN" w:bidi="ar-SA"/>
              </w:rPr>
            </w:pPr>
            <w:r>
              <w:rPr>
                <w:rFonts w:hint="eastAsia" w:ascii="CESI仿宋-GB2312" w:hAnsi="CESI仿宋-GB2312" w:eastAsia="CESI仿宋-GB2312" w:cs="CESI仿宋-GB2312"/>
                <w:i w:val="0"/>
                <w:color w:val="000000"/>
                <w:kern w:val="0"/>
                <w:sz w:val="24"/>
                <w:szCs w:val="24"/>
                <w:u w:val="none"/>
                <w:lang w:val="en-US" w:eastAsia="zh-CN" w:bidi="ar"/>
              </w:rPr>
              <w:t>深圳百寿健康信息技术有限公司（美团外卖）</w:t>
            </w:r>
          </w:p>
        </w:tc>
        <w:tc>
          <w:tcPr>
            <w:tcW w:w="4953" w:type="dxa"/>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val="0"/>
                <w:bCs w:val="0"/>
                <w:color w:val="000000"/>
                <w:kern w:val="2"/>
                <w:sz w:val="24"/>
                <w:szCs w:val="24"/>
                <w:lang w:val="en-US" w:eastAsia="zh-CN" w:bidi="ar-SA"/>
              </w:rPr>
            </w:pPr>
            <w:r>
              <w:rPr>
                <w:rFonts w:hint="eastAsia" w:ascii="CESI仿宋-GB2312" w:hAnsi="CESI仿宋-GB2312" w:eastAsia="CESI仿宋-GB2312" w:cs="CESI仿宋-GB2312"/>
                <w:i w:val="0"/>
                <w:color w:val="000000"/>
                <w:kern w:val="0"/>
                <w:sz w:val="24"/>
                <w:szCs w:val="24"/>
                <w:u w:val="none"/>
                <w:lang w:val="en-US" w:eastAsia="zh-CN" w:bidi="ar"/>
              </w:rPr>
              <w:t>（粤）网械平台备字（2020）第00014号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27" w:hRule="atLeast"/>
        </w:trPr>
        <w:tc>
          <w:tcPr>
            <w:tcW w:w="1540"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val="0"/>
                <w:bCs w:val="0"/>
                <w:color w:val="000000"/>
                <w:kern w:val="2"/>
                <w:sz w:val="24"/>
                <w:szCs w:val="24"/>
                <w:lang w:val="en-US" w:eastAsia="zh-CN" w:bidi="ar-SA"/>
              </w:rPr>
            </w:pPr>
            <w:r>
              <w:rPr>
                <w:rFonts w:hint="eastAsia" w:ascii="CESI仿宋-GB2312" w:hAnsi="CESI仿宋-GB2312" w:eastAsia="CESI仿宋-GB2312" w:cs="CESI仿宋-GB2312"/>
                <w:i w:val="0"/>
                <w:color w:val="000000"/>
                <w:kern w:val="0"/>
                <w:sz w:val="24"/>
                <w:szCs w:val="24"/>
                <w:u w:val="none"/>
                <w:lang w:val="en-US" w:eastAsia="zh-CN" w:bidi="ar"/>
              </w:rPr>
              <w:t>北京京东叁佰陆拾度电子商务有限公司（京东）</w:t>
            </w:r>
          </w:p>
        </w:tc>
        <w:tc>
          <w:tcPr>
            <w:tcW w:w="4953" w:type="dxa"/>
            <w:tcBorders>
              <w:top w:val="single" w:color="000000" w:sz="8"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val="0"/>
                <w:bCs w:val="0"/>
                <w:color w:val="000000"/>
                <w:kern w:val="2"/>
                <w:sz w:val="24"/>
                <w:szCs w:val="24"/>
                <w:lang w:val="en-US" w:eastAsia="zh-CN" w:bidi="ar-SA"/>
              </w:rPr>
            </w:pPr>
            <w:r>
              <w:rPr>
                <w:rFonts w:hint="eastAsia" w:ascii="CESI仿宋-GB2312" w:hAnsi="CESI仿宋-GB2312" w:eastAsia="CESI仿宋-GB2312" w:cs="CESI仿宋-GB2312"/>
                <w:i w:val="0"/>
                <w:color w:val="000000"/>
                <w:kern w:val="0"/>
                <w:sz w:val="24"/>
                <w:szCs w:val="24"/>
                <w:u w:val="none"/>
                <w:lang w:val="en-US" w:eastAsia="zh-CN" w:bidi="ar"/>
              </w:rPr>
              <w:t>（京）网械平台备字（2023）第00013号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PrEx>
        <w:trPr>
          <w:trHeight w:val="551"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val="0"/>
                <w:bCs w:val="0"/>
                <w:color w:val="000000"/>
                <w:kern w:val="2"/>
                <w:sz w:val="24"/>
                <w:szCs w:val="24"/>
                <w:lang w:val="en-US" w:eastAsia="zh-CN" w:bidi="ar-SA"/>
              </w:rPr>
            </w:pPr>
            <w:r>
              <w:rPr>
                <w:rFonts w:hint="eastAsia" w:ascii="CESI仿宋-GB2312" w:hAnsi="CESI仿宋-GB2312" w:eastAsia="CESI仿宋-GB2312" w:cs="CESI仿宋-GB2312"/>
                <w:i w:val="0"/>
                <w:color w:val="000000"/>
                <w:kern w:val="0"/>
                <w:sz w:val="24"/>
                <w:szCs w:val="24"/>
                <w:u w:val="none"/>
                <w:lang w:val="en-US" w:eastAsia="zh-CN" w:bidi="ar"/>
              </w:rPr>
              <w:t>上海拉扎斯信息科技有限公司（淘宝闪购）</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val="0"/>
                <w:bCs w:val="0"/>
                <w:color w:val="000000"/>
                <w:kern w:val="2"/>
                <w:sz w:val="24"/>
                <w:szCs w:val="24"/>
                <w:lang w:val="en-US" w:eastAsia="zh-CN" w:bidi="ar-SA"/>
              </w:rPr>
            </w:pPr>
            <w:r>
              <w:rPr>
                <w:rFonts w:hint="eastAsia" w:ascii="CESI仿宋-GB2312" w:hAnsi="CESI仿宋-GB2312" w:eastAsia="CESI仿宋-GB2312" w:cs="CESI仿宋-GB2312"/>
                <w:i w:val="0"/>
                <w:color w:val="000000"/>
                <w:kern w:val="0"/>
                <w:sz w:val="24"/>
                <w:szCs w:val="24"/>
                <w:u w:val="none"/>
                <w:lang w:val="en-US" w:eastAsia="zh-CN" w:bidi="ar"/>
              </w:rPr>
              <w:t>（沪）网械平台备字(2018) 第00004号</w:t>
            </w:r>
          </w:p>
        </w:tc>
      </w:tr>
      <w:tr>
        <w:tblPrEx>
          <w:tblBorders>
            <w:top w:val="single" w:color="auto" w:sz="6" w:space="0"/>
            <w:left w:val="single" w:color="auto" w:sz="6" w:space="0"/>
            <w:bottom w:val="single" w:color="auto" w:sz="6" w:space="0"/>
            <w:right w:val="single" w:color="000000" w:sz="6" w:space="0"/>
            <w:insideH w:val="single" w:color="auto" w:sz="6" w:space="0"/>
            <w:insideV w:val="single" w:color="auto" w:sz="6" w:space="0"/>
          </w:tblBorders>
          <w:shd w:val="clear" w:color="auto" w:fill="auto"/>
          <w:tblCellMar>
            <w:top w:w="0" w:type="dxa"/>
            <w:left w:w="105" w:type="dxa"/>
            <w:bottom w:w="0" w:type="dxa"/>
            <w:right w:w="105" w:type="dxa"/>
          </w:tblCellMar>
        </w:tblPrEx>
        <w:trPr>
          <w:trHeight w:val="829" w:hRule="atLeast"/>
        </w:trPr>
        <w:tc>
          <w:tcPr>
            <w:tcW w:w="1540" w:type="dxa"/>
            <w:vMerge w:val="continue"/>
            <w:tcBorders>
              <w:left w:val="single" w:color="000000" w:sz="8" w:space="0"/>
              <w:right w:val="single" w:color="000000" w:sz="8" w:space="0"/>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240" w:lineRule="exact"/>
              <w:textAlignment w:val="auto"/>
              <w:outlineLvl w:val="9"/>
              <w:rPr>
                <w:rFonts w:hint="eastAsia" w:ascii="仿宋_GB2312" w:hAnsi="仿宋_GB2312" w:eastAsia="仿宋_GB2312" w:cs="仿宋_GB2312"/>
                <w:b w:val="0"/>
                <w:bCs w:val="0"/>
                <w:color w:val="000000"/>
                <w:kern w:val="2"/>
                <w:sz w:val="21"/>
                <w:szCs w:val="21"/>
                <w:lang w:val="en-US" w:eastAsia="zh-CN" w:bidi="ar-SA"/>
              </w:rPr>
            </w:pPr>
          </w:p>
        </w:tc>
        <w:tc>
          <w:tcPr>
            <w:tcW w:w="3181" w:type="dxa"/>
            <w:gridSpan w:val="2"/>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上海寻梦信息技术有限公司（拼多多）</w:t>
            </w:r>
          </w:p>
        </w:tc>
        <w:tc>
          <w:tcPr>
            <w:tcW w:w="4953" w:type="dxa"/>
            <w:tcBorders>
              <w:top w:val="single" w:color="auto" w:sz="4" w:space="0"/>
              <w:left w:val="single" w:color="000000" w:sz="8" w:space="0"/>
              <w:bottom w:val="single" w:color="auto" w:sz="4" w:space="0"/>
              <w:right w:val="single" w:color="000000" w:sz="8" w:space="0"/>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t>（沪）网械平台备字(2018）第00003号</w:t>
            </w:r>
          </w:p>
        </w:tc>
      </w:tr>
    </w:tbl>
    <w:p>
      <w:pPr>
        <w:pStyle w:val="2"/>
        <w:keepNext w:val="0"/>
        <w:keepLines w:val="0"/>
        <w:pageBreakBefore w:val="0"/>
        <w:widowControl w:val="0"/>
        <w:shd w:val="clea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sz w:val="21"/>
          <w:szCs w:val="21"/>
          <w:lang w:val="en-US" w:eastAsia="zh-CN"/>
        </w:rPr>
      </w:pPr>
      <w:bookmarkStart w:id="0" w:name="_GoBack"/>
      <w:bookmarkEnd w:id="0"/>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altName w:val="方正书宋_GBK"/>
    <w:panose1 w:val="02010604000101010101"/>
    <w:charset w:val="86"/>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21311"/>
    <w:rsid w:val="056064D9"/>
    <w:rsid w:val="05EB1AC2"/>
    <w:rsid w:val="06217CFA"/>
    <w:rsid w:val="08C93787"/>
    <w:rsid w:val="09CB146A"/>
    <w:rsid w:val="0A21765F"/>
    <w:rsid w:val="11035B95"/>
    <w:rsid w:val="117F40FD"/>
    <w:rsid w:val="11E9694C"/>
    <w:rsid w:val="12177168"/>
    <w:rsid w:val="13504C11"/>
    <w:rsid w:val="13F6023F"/>
    <w:rsid w:val="14366510"/>
    <w:rsid w:val="158F7C42"/>
    <w:rsid w:val="16F059F5"/>
    <w:rsid w:val="17A92098"/>
    <w:rsid w:val="18D907FA"/>
    <w:rsid w:val="20716C4C"/>
    <w:rsid w:val="227375EE"/>
    <w:rsid w:val="229B7C01"/>
    <w:rsid w:val="251E7AF0"/>
    <w:rsid w:val="272B0448"/>
    <w:rsid w:val="2B2D23C0"/>
    <w:rsid w:val="2CB00892"/>
    <w:rsid w:val="2CBF47FD"/>
    <w:rsid w:val="2CC70D15"/>
    <w:rsid w:val="2DBB26A4"/>
    <w:rsid w:val="2F7E6B9C"/>
    <w:rsid w:val="2FED4F66"/>
    <w:rsid w:val="31015EBC"/>
    <w:rsid w:val="31134E47"/>
    <w:rsid w:val="316969D1"/>
    <w:rsid w:val="32035839"/>
    <w:rsid w:val="33C20608"/>
    <w:rsid w:val="33F00EA3"/>
    <w:rsid w:val="348C0254"/>
    <w:rsid w:val="369C6DA9"/>
    <w:rsid w:val="39137EFE"/>
    <w:rsid w:val="39F4ACC8"/>
    <w:rsid w:val="3A085379"/>
    <w:rsid w:val="3BE7B26B"/>
    <w:rsid w:val="3CE460F4"/>
    <w:rsid w:val="3D7D1AF1"/>
    <w:rsid w:val="3F4E387D"/>
    <w:rsid w:val="404F2A20"/>
    <w:rsid w:val="42B25790"/>
    <w:rsid w:val="43FF06A1"/>
    <w:rsid w:val="48A352BF"/>
    <w:rsid w:val="496B26C9"/>
    <w:rsid w:val="4AEB7FA2"/>
    <w:rsid w:val="4B4771C0"/>
    <w:rsid w:val="4B4C2590"/>
    <w:rsid w:val="4FDF2B4D"/>
    <w:rsid w:val="53651681"/>
    <w:rsid w:val="53B84782"/>
    <w:rsid w:val="54D651D3"/>
    <w:rsid w:val="55FFE925"/>
    <w:rsid w:val="563EB1F9"/>
    <w:rsid w:val="57520D34"/>
    <w:rsid w:val="580E1B14"/>
    <w:rsid w:val="5A725E7A"/>
    <w:rsid w:val="5AC65628"/>
    <w:rsid w:val="5AFE01F2"/>
    <w:rsid w:val="5B0B1334"/>
    <w:rsid w:val="5B3E5D76"/>
    <w:rsid w:val="5BC665AA"/>
    <w:rsid w:val="5F1F896D"/>
    <w:rsid w:val="634A7517"/>
    <w:rsid w:val="64D07650"/>
    <w:rsid w:val="66A56FDD"/>
    <w:rsid w:val="66BF4997"/>
    <w:rsid w:val="67836DC0"/>
    <w:rsid w:val="69166EA8"/>
    <w:rsid w:val="69171EDD"/>
    <w:rsid w:val="69996D05"/>
    <w:rsid w:val="6A1E1802"/>
    <w:rsid w:val="6BCFF9A6"/>
    <w:rsid w:val="6D142332"/>
    <w:rsid w:val="6D4F47B6"/>
    <w:rsid w:val="6DCD1C2A"/>
    <w:rsid w:val="6E203F44"/>
    <w:rsid w:val="6EC03F4C"/>
    <w:rsid w:val="6EFF6F57"/>
    <w:rsid w:val="6F5E1A2C"/>
    <w:rsid w:val="702E0741"/>
    <w:rsid w:val="70432CBE"/>
    <w:rsid w:val="733F71F4"/>
    <w:rsid w:val="75CE2CD5"/>
    <w:rsid w:val="76CFA7D1"/>
    <w:rsid w:val="7B735ED8"/>
    <w:rsid w:val="7BDDAC00"/>
    <w:rsid w:val="7D48017D"/>
    <w:rsid w:val="7E5271AC"/>
    <w:rsid w:val="7E6479EE"/>
    <w:rsid w:val="7EFA36E6"/>
    <w:rsid w:val="7F297719"/>
    <w:rsid w:val="7F7BAB47"/>
    <w:rsid w:val="7FB58CFF"/>
    <w:rsid w:val="7FFFA92A"/>
    <w:rsid w:val="BB7FA9E4"/>
    <w:rsid w:val="BFD70B42"/>
    <w:rsid w:val="C3FEEDF7"/>
    <w:rsid w:val="C5BDA557"/>
    <w:rsid w:val="D2EB5255"/>
    <w:rsid w:val="D6F76A8A"/>
    <w:rsid w:val="D77D059B"/>
    <w:rsid w:val="DC3F51A2"/>
    <w:rsid w:val="DEF6C2DD"/>
    <w:rsid w:val="DFDEF74A"/>
    <w:rsid w:val="F4FFF311"/>
    <w:rsid w:val="F59F7AFE"/>
    <w:rsid w:val="F5FB51F5"/>
    <w:rsid w:val="F6F73795"/>
    <w:rsid w:val="FDDB0B82"/>
    <w:rsid w:val="FDEEE938"/>
    <w:rsid w:val="FE7E5DD0"/>
    <w:rsid w:val="FEEB8FEF"/>
    <w:rsid w:val="FF3E77C5"/>
    <w:rsid w:val="FFF51B7F"/>
    <w:rsid w:val="FFFBC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sz w:val="0"/>
      <w:szCs w:val="0"/>
      <w:u w:val="none"/>
      <w:bdr w:val="single" w:color="D2D2D2" w:sz="6" w:space="0"/>
      <w:shd w:val="clear" w:fill="FFFFFF"/>
    </w:rPr>
  </w:style>
  <w:style w:type="character" w:styleId="12">
    <w:name w:val="Hyperlink"/>
    <w:basedOn w:val="10"/>
    <w:qFormat/>
    <w:uiPriority w:val="0"/>
    <w:rPr>
      <w:color w:val="333333"/>
      <w:u w:val="none"/>
    </w:rPr>
  </w:style>
  <w:style w:type="character" w:customStyle="1" w:styleId="13">
    <w:name w:val="l-btn-icon-left"/>
    <w:basedOn w:val="10"/>
    <w:qFormat/>
    <w:uiPriority w:val="0"/>
  </w:style>
  <w:style w:type="character" w:customStyle="1" w:styleId="14">
    <w:name w:val="l-btn-left"/>
    <w:basedOn w:val="10"/>
    <w:qFormat/>
    <w:uiPriority w:val="0"/>
  </w:style>
  <w:style w:type="character" w:customStyle="1" w:styleId="15">
    <w:name w:val="l-btn-left1"/>
    <w:basedOn w:val="10"/>
    <w:qFormat/>
    <w:uiPriority w:val="0"/>
  </w:style>
  <w:style w:type="character" w:customStyle="1" w:styleId="16">
    <w:name w:val="l-btn-left2"/>
    <w:basedOn w:val="10"/>
    <w:qFormat/>
    <w:uiPriority w:val="0"/>
  </w:style>
  <w:style w:type="character" w:customStyle="1" w:styleId="17">
    <w:name w:val="l-btn-left3"/>
    <w:basedOn w:val="10"/>
    <w:qFormat/>
    <w:uiPriority w:val="0"/>
  </w:style>
  <w:style w:type="character" w:customStyle="1" w:styleId="18">
    <w:name w:val="l-btn-icon-right"/>
    <w:basedOn w:val="10"/>
    <w:qFormat/>
    <w:uiPriority w:val="0"/>
  </w:style>
  <w:style w:type="character" w:customStyle="1" w:styleId="19">
    <w:name w:val="l-btn-text"/>
    <w:basedOn w:val="10"/>
    <w:qFormat/>
    <w:uiPriority w:val="0"/>
    <w:rPr>
      <w:vertAlign w:val="baseline"/>
    </w:rPr>
  </w:style>
  <w:style w:type="character" w:customStyle="1" w:styleId="20">
    <w:name w:val="l-btn-empty"/>
    <w:basedOn w:val="10"/>
    <w:qFormat/>
    <w:uiPriority w:val="0"/>
  </w:style>
  <w:style w:type="character" w:customStyle="1" w:styleId="21">
    <w:name w:val="layui-layer-tabnow"/>
    <w:basedOn w:val="10"/>
    <w:qFormat/>
    <w:uiPriority w:val="0"/>
    <w:rPr>
      <w:bdr w:val="single" w:color="CCCCCC" w:sz="6" w:space="0"/>
      <w:shd w:val="clear" w:fill="FFFFFF"/>
    </w:rPr>
  </w:style>
  <w:style w:type="character" w:customStyle="1" w:styleId="22">
    <w:name w:val="first-child"/>
    <w:basedOn w:val="10"/>
    <w:qFormat/>
    <w:uiPriority w:val="0"/>
  </w:style>
  <w:style w:type="character" w:customStyle="1" w:styleId="23">
    <w:name w:val="hover12"/>
    <w:basedOn w:val="10"/>
    <w:qFormat/>
    <w:uiPriority w:val="0"/>
    <w:rPr>
      <w:shd w:val="clear" w:fill="F3F3F3"/>
    </w:rPr>
  </w:style>
  <w:style w:type="character" w:customStyle="1" w:styleId="24">
    <w:name w:val="hover13"/>
    <w:basedOn w:val="10"/>
    <w:qFormat/>
    <w:uiPriority w:val="0"/>
    <w:rPr>
      <w:sz w:val="21"/>
      <w:szCs w:val="21"/>
    </w:rPr>
  </w:style>
  <w:style w:type="character" w:customStyle="1" w:styleId="25">
    <w:name w:val="hover14"/>
    <w:basedOn w:val="10"/>
    <w:qFormat/>
    <w:uiPriority w:val="0"/>
    <w:rPr>
      <w:shd w:val="clear" w:fill="F3F3F3"/>
    </w:rPr>
  </w:style>
  <w:style w:type="character" w:customStyle="1" w:styleId="26">
    <w:name w:val="l-btn-left4"/>
    <w:basedOn w:val="10"/>
    <w:qFormat/>
    <w:uiPriority w:val="0"/>
  </w:style>
  <w:style w:type="character" w:customStyle="1" w:styleId="27">
    <w:name w:val="l-btn-left5"/>
    <w:basedOn w:val="10"/>
    <w:qFormat/>
    <w:uiPriority w:val="0"/>
  </w:style>
  <w:style w:type="character" w:customStyle="1" w:styleId="28">
    <w:name w:val="hover"/>
    <w:basedOn w:val="10"/>
    <w:qFormat/>
    <w:uiPriority w:val="0"/>
    <w:rPr>
      <w:shd w:val="clear" w:fill="F3F3F3"/>
    </w:rPr>
  </w:style>
  <w:style w:type="character" w:customStyle="1" w:styleId="29">
    <w:name w:val="hover1"/>
    <w:basedOn w:val="10"/>
    <w:qFormat/>
    <w:uiPriority w:val="0"/>
    <w:rPr>
      <w:sz w:val="21"/>
      <w:szCs w:val="21"/>
    </w:rPr>
  </w:style>
  <w:style w:type="character" w:customStyle="1" w:styleId="30">
    <w:name w:val="hover2"/>
    <w:basedOn w:val="10"/>
    <w:qFormat/>
    <w:uiPriority w:val="0"/>
    <w:rPr>
      <w:shd w:val="clear" w:fill="F3F3F3"/>
    </w:rPr>
  </w:style>
  <w:style w:type="character" w:customStyle="1" w:styleId="31">
    <w:name w:val="hover10"/>
    <w:basedOn w:val="10"/>
    <w:qFormat/>
    <w:uiPriority w:val="0"/>
    <w:rPr>
      <w:shd w:val="clear" w:fill="F3F3F3"/>
    </w:rPr>
  </w:style>
  <w:style w:type="character" w:customStyle="1" w:styleId="32">
    <w:name w:val="hover11"/>
    <w:basedOn w:val="10"/>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1010</Words>
  <Characters>1250</Characters>
  <Lines>0</Lines>
  <Paragraphs>0</Paragraphs>
  <TotalTime>1</TotalTime>
  <ScaleCrop>false</ScaleCrop>
  <LinksUpToDate>false</LinksUpToDate>
  <CharactersWithSpaces>1261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lenovo097</dc:creator>
  <cp:lastModifiedBy>kylin</cp:lastModifiedBy>
  <cp:lastPrinted>2022-04-07T01:23:00Z</cp:lastPrinted>
  <dcterms:modified xsi:type="dcterms:W3CDTF">2026-03-23T09:58:57Z</dcterms:modified>
  <dc:title>医疗器械网络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ADD47DE5AF5345BB98150A6CABAD11D1</vt:lpwstr>
  </property>
</Properties>
</file>