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文星标宋" w:hAnsi="文星标宋" w:eastAsia="文星标宋" w:cs="文星标宋"/>
          <w:b w:val="0"/>
          <w:bCs w:val="0"/>
          <w:sz w:val="44"/>
          <w:szCs w:val="44"/>
          <w:lang w:val="en-US" w:eastAsia="zh-CN"/>
        </w:rPr>
      </w:pPr>
      <w:r>
        <w:rPr>
          <w:rFonts w:hint="eastAsia" w:ascii="文星标宋" w:hAnsi="文星标宋" w:eastAsia="文星标宋" w:cs="文星标宋"/>
          <w:b w:val="0"/>
          <w:bCs w:val="0"/>
          <w:sz w:val="44"/>
          <w:szCs w:val="44"/>
          <w:lang w:val="en-US" w:eastAsia="zh-CN"/>
        </w:rPr>
        <w:t>三门峡市市场监督管理局医疗器械</w:t>
      </w:r>
    </w:p>
    <w:p>
      <w:pPr>
        <w:jc w:val="center"/>
        <w:rPr>
          <w:rFonts w:hint="eastAsia" w:ascii="文星标宋" w:hAnsi="文星标宋" w:eastAsia="文星标宋" w:cs="文星标宋"/>
          <w:b w:val="0"/>
          <w:bCs w:val="0"/>
          <w:sz w:val="44"/>
          <w:szCs w:val="44"/>
          <w:lang w:val="en-US" w:eastAsia="zh-CN"/>
        </w:rPr>
      </w:pPr>
      <w:r>
        <w:rPr>
          <w:rFonts w:hint="eastAsia" w:ascii="文星标宋" w:hAnsi="文星标宋" w:eastAsia="文星标宋" w:cs="文星标宋"/>
          <w:b w:val="0"/>
          <w:bCs w:val="0"/>
          <w:sz w:val="44"/>
          <w:szCs w:val="44"/>
          <w:lang w:val="en-US" w:eastAsia="zh-CN"/>
        </w:rPr>
        <w:t>网络销售备案公示</w:t>
      </w:r>
    </w:p>
    <w:p>
      <w:pPr>
        <w:jc w:val="center"/>
        <w:rPr>
          <w:rFonts w:hint="eastAsia" w:ascii="文星标宋" w:hAnsi="文星标宋" w:eastAsia="文星标宋" w:cs="文星标宋"/>
          <w:b w:val="0"/>
          <w:bCs w:val="0"/>
          <w:sz w:val="44"/>
          <w:szCs w:val="44"/>
          <w:lang w:val="en-US" w:eastAsia="zh-CN"/>
        </w:rPr>
      </w:pPr>
      <w:r>
        <w:rPr>
          <w:rFonts w:hint="eastAsia" w:ascii="文星标宋" w:hAnsi="文星标宋" w:eastAsia="文星标宋" w:cs="文星标宋"/>
          <w:b w:val="0"/>
          <w:bCs w:val="0"/>
          <w:sz w:val="44"/>
          <w:szCs w:val="44"/>
          <w:lang w:val="en-US" w:eastAsia="zh-CN"/>
        </w:rPr>
        <w:t>（202</w:t>
      </w:r>
      <w:r>
        <w:rPr>
          <w:rFonts w:hint="default" w:ascii="文星标宋" w:hAnsi="文星标宋" w:eastAsia="文星标宋" w:cs="文星标宋"/>
          <w:b w:val="0"/>
          <w:bCs w:val="0"/>
          <w:sz w:val="44"/>
          <w:szCs w:val="44"/>
          <w:lang w:val="en" w:eastAsia="zh-CN"/>
        </w:rPr>
        <w:t>6</w:t>
      </w:r>
      <w:r>
        <w:rPr>
          <w:rFonts w:hint="eastAsia" w:ascii="文星标宋" w:hAnsi="文星标宋" w:eastAsia="文星标宋" w:cs="文星标宋"/>
          <w:b w:val="0"/>
          <w:bCs w:val="0"/>
          <w:sz w:val="44"/>
          <w:szCs w:val="44"/>
          <w:lang w:val="en-US" w:eastAsia="zh-CN"/>
        </w:rPr>
        <w:t>年第7号）</w:t>
      </w:r>
    </w:p>
    <w:p>
      <w:pPr>
        <w:jc w:val="center"/>
        <w:rPr>
          <w:rFonts w:hint="eastAsia" w:ascii="文星标宋" w:hAnsi="文星标宋" w:eastAsia="文星标宋" w:cs="文星标宋"/>
          <w:b w:val="0"/>
          <w:bCs w:val="0"/>
          <w:sz w:val="22"/>
          <w:szCs w:val="22"/>
          <w:lang w:val="en-US" w:eastAsia="zh-CN"/>
        </w:rPr>
      </w:pPr>
    </w:p>
    <w:p>
      <w:pPr>
        <w:jc w:val="left"/>
        <w:rPr>
          <w:rFonts w:hint="eastAsia" w:ascii="仿宋_GB2312" w:hAnsi="仿宋_GB2312" w:eastAsia="仿宋_GB2312" w:cs="仿宋_GB2312"/>
          <w:b w:val="0"/>
          <w:bCs w:val="0"/>
          <w:sz w:val="32"/>
          <w:szCs w:val="32"/>
          <w:lang w:val="en-US" w:eastAsia="zh-CN"/>
        </w:rPr>
      </w:pPr>
      <w:r>
        <w:rPr>
          <w:rFonts w:hint="eastAsia" w:ascii="文星标宋" w:hAnsi="文星标宋" w:eastAsia="文星标宋" w:cs="文星标宋"/>
          <w:b w:val="0"/>
          <w:bCs w:val="0"/>
          <w:sz w:val="44"/>
          <w:szCs w:val="44"/>
          <w:lang w:val="en-US" w:eastAsia="zh-CN"/>
        </w:rPr>
        <w:t xml:space="preserve">   </w:t>
      </w:r>
      <w:r>
        <w:rPr>
          <w:rFonts w:hint="eastAsia" w:ascii="仿宋_GB2312" w:hAnsi="仿宋_GB2312" w:eastAsia="仿宋_GB2312" w:cs="仿宋_GB2312"/>
          <w:b w:val="0"/>
          <w:bCs w:val="0"/>
          <w:sz w:val="32"/>
          <w:szCs w:val="32"/>
          <w:lang w:val="en-US" w:eastAsia="zh-CN"/>
        </w:rPr>
        <w:t>根据《医疗器械监督管理条例》、《医疗器械网络销售监督管理办法》的规定，河南张仲景大药房股份有限公司三门峡上阳南路店提交资料符合备案相关要求，予以备案（见附件）。</w:t>
      </w:r>
    </w:p>
    <w:p>
      <w:pPr>
        <w:ind w:firstLine="320" w:firstLineChars="1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特此公告。</w:t>
      </w:r>
    </w:p>
    <w:p>
      <w:pPr>
        <w:jc w:val="left"/>
        <w:rPr>
          <w:rFonts w:hint="eastAsia" w:ascii="仿宋_GB2312" w:hAnsi="仿宋_GB2312" w:eastAsia="仿宋_GB2312" w:cs="仿宋_GB2312"/>
          <w:b w:val="0"/>
          <w:bCs w:val="0"/>
          <w:sz w:val="32"/>
          <w:szCs w:val="32"/>
          <w:lang w:val="en-US" w:eastAsia="zh-CN"/>
        </w:rPr>
      </w:pPr>
    </w:p>
    <w:p>
      <w:pPr>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w:t>
      </w:r>
      <w:r>
        <w:rPr>
          <w:rFonts w:hint="default" w:ascii="仿宋_GB2312" w:hAnsi="仿宋_GB2312" w:eastAsia="仿宋_GB2312" w:cs="仿宋_GB2312"/>
          <w:b w:val="0"/>
          <w:bCs w:val="0"/>
          <w:sz w:val="32"/>
          <w:szCs w:val="32"/>
          <w:lang w:val="en" w:eastAsia="zh-CN"/>
        </w:rPr>
        <w:t>6</w:t>
      </w:r>
      <w:r>
        <w:rPr>
          <w:rFonts w:hint="eastAsia" w:ascii="仿宋_GB2312" w:hAnsi="仿宋_GB2312" w:eastAsia="仿宋_GB2312" w:cs="仿宋_GB2312"/>
          <w:b w:val="0"/>
          <w:bCs w:val="0"/>
          <w:sz w:val="32"/>
          <w:szCs w:val="32"/>
          <w:lang w:val="en-US" w:eastAsia="zh-CN"/>
        </w:rPr>
        <w:t>年3月17</w:t>
      </w:r>
      <w:bookmarkStart w:id="0" w:name="_GoBack"/>
      <w:bookmarkEnd w:id="0"/>
      <w:r>
        <w:rPr>
          <w:rFonts w:hint="eastAsia" w:ascii="仿宋_GB2312" w:hAnsi="仿宋_GB2312" w:eastAsia="仿宋_GB2312" w:cs="仿宋_GB2312"/>
          <w:b w:val="0"/>
          <w:bCs w:val="0"/>
          <w:sz w:val="32"/>
          <w:szCs w:val="32"/>
          <w:lang w:val="en-US" w:eastAsia="zh-CN"/>
        </w:rPr>
        <w:t>日</w:t>
      </w:r>
    </w:p>
    <w:p>
      <w:pPr>
        <w:jc w:val="left"/>
        <w:rPr>
          <w:rFonts w:hint="eastAsia" w:ascii="仿宋_GB2312" w:hAnsi="仿宋_GB2312" w:eastAsia="仿宋_GB2312" w:cs="仿宋_GB2312"/>
          <w:b w:val="0"/>
          <w:bCs w:val="0"/>
          <w:sz w:val="32"/>
          <w:szCs w:val="32"/>
          <w:lang w:val="en-US" w:eastAsia="zh-CN"/>
        </w:rPr>
      </w:pPr>
    </w:p>
    <w:p>
      <w:pPr>
        <w:ind w:firstLine="640" w:firstLineChars="200"/>
        <w:jc w:val="left"/>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2"/>
          <w:szCs w:val="32"/>
          <w:lang w:val="en-US" w:eastAsia="zh-CN"/>
        </w:rPr>
        <w:t>附件：</w:t>
      </w:r>
      <w:r>
        <w:rPr>
          <w:rFonts w:hint="eastAsia" w:ascii="仿宋_GB2312" w:hAnsi="仿宋_GB2312" w:eastAsia="仿宋_GB2312" w:cs="仿宋_GB2312"/>
          <w:b w:val="0"/>
          <w:bCs w:val="0"/>
          <w:sz w:val="30"/>
          <w:szCs w:val="30"/>
          <w:lang w:val="en-US" w:eastAsia="zh-CN"/>
        </w:rPr>
        <w:t>医疗器械网络销售信息表（河南张仲景大药房股份有限公司三门峡上阳南路店）</w:t>
      </w:r>
    </w:p>
    <w:p>
      <w:pPr>
        <w:jc w:val="center"/>
        <w:rPr>
          <w:rFonts w:hint="eastAsia" w:ascii="文星标宋" w:hAnsi="文星标宋" w:eastAsia="文星标宋" w:cs="文星标宋"/>
          <w:sz w:val="44"/>
          <w:szCs w:val="44"/>
        </w:rPr>
      </w:pPr>
    </w:p>
    <w:p>
      <w:pPr>
        <w:jc w:val="center"/>
        <w:rPr>
          <w:rFonts w:hint="eastAsia" w:ascii="文星标宋" w:hAnsi="文星标宋" w:eastAsia="文星标宋" w:cs="文星标宋"/>
          <w:sz w:val="44"/>
          <w:szCs w:val="44"/>
        </w:rPr>
      </w:pPr>
    </w:p>
    <w:p>
      <w:pPr>
        <w:jc w:val="center"/>
        <w:rPr>
          <w:rFonts w:hint="eastAsia" w:ascii="文星标宋" w:hAnsi="文星标宋" w:eastAsia="文星标宋" w:cs="文星标宋"/>
          <w:sz w:val="44"/>
          <w:szCs w:val="44"/>
        </w:rPr>
      </w:pPr>
    </w:p>
    <w:p>
      <w:pPr>
        <w:jc w:val="center"/>
        <w:rPr>
          <w:rFonts w:hint="eastAsia" w:ascii="文星标宋" w:hAnsi="文星标宋" w:eastAsia="文星标宋" w:cs="文星标宋"/>
          <w:sz w:val="44"/>
          <w:szCs w:val="44"/>
        </w:rPr>
      </w:pPr>
    </w:p>
    <w:p>
      <w:pPr>
        <w:jc w:val="center"/>
        <w:rPr>
          <w:rFonts w:hint="eastAsia" w:ascii="文星标宋" w:hAnsi="文星标宋" w:eastAsia="文星标宋" w:cs="文星标宋"/>
          <w:sz w:val="44"/>
          <w:szCs w:val="44"/>
        </w:rPr>
      </w:pPr>
    </w:p>
    <w:p>
      <w:pPr>
        <w:jc w:val="center"/>
        <w:rPr>
          <w:rFonts w:hint="eastAsia" w:ascii="文星标宋" w:hAnsi="文星标宋" w:eastAsia="文星标宋" w:cs="文星标宋"/>
          <w:sz w:val="44"/>
          <w:szCs w:val="44"/>
        </w:rPr>
      </w:pPr>
    </w:p>
    <w:p>
      <w:pPr>
        <w:jc w:val="center"/>
        <w:rPr>
          <w:rFonts w:ascii="文星标宋" w:hAnsi="文星标宋" w:eastAsia="文星标宋" w:cs="文星标宋"/>
          <w:sz w:val="44"/>
          <w:szCs w:val="44"/>
        </w:rPr>
      </w:pPr>
      <w:r>
        <w:rPr>
          <w:rFonts w:hint="eastAsia" w:ascii="文星标宋" w:hAnsi="文星标宋" w:eastAsia="文星标宋" w:cs="文星标宋"/>
          <w:sz w:val="44"/>
          <w:szCs w:val="44"/>
        </w:rPr>
        <w:t>医疗器械网络销售案信息表</w:t>
      </w:r>
    </w:p>
    <w:p>
      <w:pPr>
        <w:pStyle w:val="2"/>
        <w:rPr>
          <w:rFonts w:hint="eastAsia" w:ascii="仿宋_GB2312" w:hAnsi="仿宋_GB2312" w:eastAsia="仿宋_GB2312" w:cs="仿宋_GB2312"/>
          <w:b w:val="0"/>
          <w:bCs w:val="0"/>
          <w:color w:val="000000"/>
          <w:kern w:val="2"/>
          <w:sz w:val="21"/>
          <w:szCs w:val="21"/>
          <w:lang w:val="en-US" w:eastAsia="zh-CN" w:bidi="ar-SA"/>
        </w:rPr>
      </w:pPr>
    </w:p>
    <w:tbl>
      <w:tblPr>
        <w:tblStyle w:val="8"/>
        <w:tblpPr w:leftFromText="180" w:rightFromText="180" w:vertAnchor="page" w:horzAnchor="page" w:tblpX="1248" w:tblpY="2377"/>
        <w:tblOverlap w:val="never"/>
        <w:tblW w:w="967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05" w:type="dxa"/>
          <w:bottom w:w="0" w:type="dxa"/>
          <w:right w:w="105" w:type="dxa"/>
        </w:tblCellMar>
      </w:tblPr>
      <w:tblGrid>
        <w:gridCol w:w="1540"/>
        <w:gridCol w:w="1095"/>
        <w:gridCol w:w="2086"/>
        <w:gridCol w:w="495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540" w:hRule="atLeast"/>
        </w:trPr>
        <w:tc>
          <w:tcPr>
            <w:tcW w:w="154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医疗器械</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网络</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b w:val="0"/>
                <w:bCs w:val="0"/>
                <w:color w:val="000000"/>
                <w:kern w:val="2"/>
                <w:sz w:val="21"/>
                <w:szCs w:val="21"/>
                <w:lang w:val="en-US" w:eastAsia="zh-CN" w:bidi="ar-SA"/>
              </w:rPr>
            </w:pPr>
            <w:r>
              <w:rPr>
                <w:rFonts w:hint="eastAsia" w:ascii="Calibri" w:hAnsi="Calibri" w:cs="Calibri"/>
                <w:color w:val="000000"/>
                <w:sz w:val="22"/>
                <w:szCs w:val="22"/>
                <w:lang w:val="en-US" w:eastAsia="zh-CN"/>
              </w:rPr>
              <w:t>销售类型</w:t>
            </w:r>
          </w:p>
        </w:tc>
        <w:tc>
          <w:tcPr>
            <w:tcW w:w="813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right="0" w:firstLine="105"/>
              <w:jc w:val="center"/>
              <w:rPr>
                <w:rFonts w:hint="default" w:ascii="仿宋_GB2312" w:hAnsi="仿宋_GB2312" w:eastAsia="仿宋_GB2312" w:cs="仿宋_GB2312"/>
                <w:b w:val="0"/>
                <w:bCs w:val="0"/>
                <w:color w:val="000000"/>
                <w:kern w:val="2"/>
                <w:sz w:val="21"/>
                <w:szCs w:val="21"/>
                <w:lang w:val="en-US" w:eastAsia="zh-CN" w:bidi="ar-SA"/>
              </w:rPr>
            </w:pPr>
            <w:r>
              <w:rPr>
                <w:rFonts w:hint="eastAsia" w:ascii="Calibri" w:hAnsi="Calibri" w:cs="Calibri"/>
                <w:color w:val="000000"/>
                <w:sz w:val="22"/>
                <w:szCs w:val="22"/>
                <w:lang w:val="en-US" w:eastAsia="zh-CN"/>
              </w:rPr>
              <w:t>入驻类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35" w:hRule="atLeast"/>
        </w:trPr>
        <w:tc>
          <w:tcPr>
            <w:tcW w:w="15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主  体</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信  息</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企业</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名称</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河南张仲景大药房股份有限公司三门峡上阳南路店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37"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住  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仿宋_GB2312" w:hAnsi="仿宋_GB2312" w:eastAsia="仿宋_GB2312" w:cs="仿宋_GB2312"/>
                <w:b w:val="0"/>
                <w:bCs w:val="0"/>
                <w:color w:val="000000"/>
                <w:kern w:val="2"/>
                <w:sz w:val="24"/>
                <w:szCs w:val="24"/>
                <w:lang w:val="en" w:eastAsia="zh-CN" w:bidi="ar-SA"/>
              </w:rPr>
            </w:pPr>
            <w:r>
              <w:rPr>
                <w:rFonts w:hint="eastAsia" w:ascii="仿宋_GB2312" w:hAnsi="仿宋_GB2312" w:eastAsia="仿宋_GB2312" w:cs="仿宋_GB2312"/>
                <w:b w:val="0"/>
                <w:bCs w:val="0"/>
                <w:color w:val="000000"/>
                <w:kern w:val="2"/>
                <w:sz w:val="24"/>
                <w:szCs w:val="24"/>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56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社会信用代码</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91411202MADR16JD4D</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72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经营</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场所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河南省三门峡市湖滨区上阳路与五原路交叉口东南角一层门面房03号商铺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52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库房</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地址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仿宋_GB2312" w:hAnsi="仿宋_GB2312" w:eastAsia="仿宋_GB2312" w:cs="仿宋_GB2312"/>
                <w:b w:val="0"/>
                <w:bCs w:val="0"/>
                <w:color w:val="000000"/>
                <w:kern w:val="2"/>
                <w:sz w:val="24"/>
                <w:szCs w:val="24"/>
                <w:lang w:val="en" w:eastAsia="zh-CN" w:bidi="ar-SA"/>
              </w:rPr>
            </w:pPr>
            <w:r>
              <w:rPr>
                <w:rFonts w:hint="eastAsia" w:ascii="仿宋_GB2312" w:hAnsi="仿宋_GB2312" w:eastAsia="仿宋_GB2312" w:cs="仿宋_GB2312"/>
                <w:b w:val="0"/>
                <w:bCs w:val="0"/>
                <w:color w:val="000000"/>
                <w:kern w:val="2"/>
                <w:sz w:val="24"/>
                <w:szCs w:val="24"/>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05"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主体</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业态</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零售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130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医疗器械经营许可证（备案凭证）编号</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 xml:space="preserve">豫三药监械经营备20240086号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387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color w:val="000000"/>
                <w:sz w:val="22"/>
                <w:szCs w:val="22"/>
                <w:lang w:val="en-US" w:eastAsia="zh-CN"/>
              </w:rPr>
            </w:pPr>
            <w:r>
              <w:rPr>
                <w:rFonts w:hint="default" w:ascii="Calibri" w:hAnsi="Calibri" w:cs="Calibri"/>
                <w:color w:val="000000"/>
                <w:sz w:val="22"/>
                <w:szCs w:val="22"/>
                <w:lang w:val="en-US" w:eastAsia="zh-CN"/>
              </w:rPr>
              <w:t>经营</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color w:val="000000"/>
                <w:sz w:val="22"/>
                <w:szCs w:val="22"/>
                <w:lang w:val="en-US" w:eastAsia="zh-CN"/>
              </w:rPr>
            </w:pPr>
            <w:r>
              <w:rPr>
                <w:rFonts w:hint="default" w:ascii="Calibri" w:hAnsi="Calibri" w:cs="Calibri"/>
                <w:color w:val="000000"/>
                <w:sz w:val="22"/>
                <w:szCs w:val="22"/>
                <w:lang w:val="en-US" w:eastAsia="zh-CN"/>
              </w:rPr>
              <w:t>范围</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原分类目录</w:t>
            </w:r>
            <w:r>
              <w:rPr>
                <w:rFonts w:hint="eastAsia" w:ascii="仿宋_GB2312" w:hAnsi="仿宋_GB2312" w:eastAsia="仿宋_GB2312" w:cs="仿宋_GB2312"/>
                <w:b w:val="0"/>
                <w:bCs w:val="0"/>
                <w:color w:val="000000"/>
                <w:kern w:val="2"/>
                <w:sz w:val="24"/>
                <w:szCs w:val="24"/>
                <w:lang w:val="en-US" w:eastAsia="zh-CN" w:bidi="ar-SA"/>
              </w:rPr>
              <w:t>：</w:t>
            </w:r>
            <w:r>
              <w:rPr>
                <w:rFonts w:hint="default" w:ascii="仿宋_GB2312" w:hAnsi="仿宋_GB2312" w:eastAsia="仿宋_GB2312" w:cs="仿宋_GB2312"/>
                <w:b w:val="0"/>
                <w:bCs w:val="0"/>
                <w:color w:val="000000"/>
                <w:kern w:val="2"/>
                <w:sz w:val="24"/>
                <w:szCs w:val="24"/>
                <w:lang w:val="en-US" w:eastAsia="zh-CN" w:bidi="ar-SA"/>
              </w:rPr>
              <w:t>第二类：6801，6802，6803，6804，6805，6806，6807，6808，6809，6810，6812，6815，6820，6821，6822，6823，6824，6825，6826，6827，6830，6831，6833，6840临床检验分析仪器及诊断试剂（诊断试剂不需低温冷藏运输贮存），6841，6845，6846，6854，6855，6856，6857，6858，6863，6864，6865，6866，6870；</w:t>
            </w:r>
          </w:p>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default" w:ascii="仿宋_GB2312" w:hAnsi="仿宋_GB2312" w:eastAsia="仿宋_GB2312" w:cs="仿宋_GB2312"/>
                <w:b w:val="0"/>
                <w:bCs w:val="0"/>
                <w:color w:val="000000"/>
                <w:kern w:val="2"/>
                <w:sz w:val="24"/>
                <w:szCs w:val="24"/>
                <w:lang w:val="en" w:eastAsia="zh-CN" w:bidi="ar-SA"/>
              </w:rPr>
            </w:pPr>
            <w:r>
              <w:rPr>
                <w:rFonts w:hint="eastAsia" w:ascii="仿宋_GB2312" w:hAnsi="仿宋_GB2312" w:eastAsia="仿宋_GB2312" w:cs="仿宋_GB2312"/>
                <w:b w:val="0"/>
                <w:bCs w:val="0"/>
                <w:color w:val="000000"/>
                <w:kern w:val="2"/>
                <w:sz w:val="24"/>
                <w:szCs w:val="24"/>
                <w:lang w:val="en-US" w:eastAsia="zh-CN" w:bidi="ar-SA"/>
              </w:rPr>
              <w:t>新分类目录：第二类：01，02，03，04，05，06，07，08，09，10，11，12，14，15，16，17，18，19，20，21，22。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1518" w:hRule="exac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auto" w:sz="4"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法定</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代表人</w:t>
            </w:r>
          </w:p>
        </w:tc>
        <w:tc>
          <w:tcPr>
            <w:tcW w:w="7039" w:type="dxa"/>
            <w:gridSpan w:val="2"/>
            <w:tcBorders>
              <w:top w:val="single" w:color="auto" w:sz="4"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hd w:val="clear"/>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 w:eastAsia="zh-CN" w:bidi="ar-SA"/>
              </w:rPr>
            </w:pPr>
            <w:r>
              <w:rPr>
                <w:rFonts w:hint="eastAsia" w:ascii="仿宋_GB2312" w:hAnsi="仿宋_GB2312" w:eastAsia="仿宋_GB2312" w:cs="仿宋_GB2312"/>
                <w:b w:val="0"/>
                <w:bCs w:val="0"/>
                <w:color w:val="000000"/>
                <w:kern w:val="2"/>
                <w:sz w:val="24"/>
                <w:szCs w:val="24"/>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1471" w:hRule="exac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企业</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负责人</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hd w:val="clear"/>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杨明江</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732" w:hRule="atLeast"/>
        </w:trPr>
        <w:tc>
          <w:tcPr>
            <w:tcW w:w="154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color w:val="000000"/>
                <w:sz w:val="24"/>
                <w:szCs w:val="24"/>
              </w:rPr>
            </w:pPr>
            <w:r>
              <w:rPr>
                <w:rFonts w:hint="eastAsia" w:ascii="Calibri" w:hAnsi="Calibri" w:cs="Calibri"/>
                <w:color w:val="000000"/>
                <w:sz w:val="22"/>
                <w:szCs w:val="22"/>
              </w:rPr>
              <w:t>医疗器械网络交易服务第三方平台信息（入驻类）</w:t>
            </w:r>
          </w:p>
        </w:tc>
        <w:tc>
          <w:tcPr>
            <w:tcW w:w="318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color w:val="000000"/>
                <w:sz w:val="22"/>
                <w:szCs w:val="22"/>
              </w:rPr>
            </w:pPr>
            <w:r>
              <w:rPr>
                <w:rFonts w:hint="eastAsia" w:ascii="Calibri" w:hAnsi="Calibri" w:cs="Calibri"/>
                <w:color w:val="000000"/>
                <w:sz w:val="22"/>
                <w:szCs w:val="22"/>
              </w:rPr>
              <w:t>医疗器械网络交易服务第三方平台名称</w:t>
            </w:r>
          </w:p>
        </w:tc>
        <w:tc>
          <w:tcPr>
            <w:tcW w:w="4953"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color w:val="000000"/>
                <w:sz w:val="22"/>
                <w:szCs w:val="22"/>
              </w:rPr>
            </w:pPr>
            <w:r>
              <w:rPr>
                <w:rFonts w:hint="eastAsia" w:ascii="Calibri" w:hAnsi="Calibri" w:cs="Calibri"/>
                <w:color w:val="000000"/>
                <w:sz w:val="22"/>
                <w:szCs w:val="22"/>
              </w:rPr>
              <w:t>医疗器械网络交易服务第三方平台备案凭证编号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686" w:hRule="atLeast"/>
        </w:trPr>
        <w:tc>
          <w:tcPr>
            <w:tcW w:w="154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000000" w:sz="8"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上海拉扎斯信息科技有限公司（淘宝闪购）</w:t>
            </w:r>
          </w:p>
        </w:tc>
        <w:tc>
          <w:tcPr>
            <w:tcW w:w="4953" w:type="dxa"/>
            <w:tcBorders>
              <w:top w:val="single" w:color="000000" w:sz="8"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（沪）网械平台备字(2018) 第00004号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720"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北京京东叁佰陆拾度电子商务有限公司（京东商城）</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（京）网械平台备字（2018）第00003号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635"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上海寻梦信息技术有限公司（拼多多）</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（沪）网械平台备字(2018）第00003号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435"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北京百度网讯科技有限公司（百度）</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（京）网械平台备字（2020）第00002号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295"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平安健康互联网股份有限公司（平安健康 平安管家）</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（粤）网械平台备字（2018）第00009号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320"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深圳百寿健康信息技术有限公司（美团）</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（粤）网械平台备字（2020）第00014号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545"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上海京东到家友恒电商信息技术有限公司（京东到家）</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（沪）网械平台备字（2018）第00002号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535"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上海格物致品网络科技有限公司（抖音-抖音电商）</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（沪）网械平台备字[2022]第00002号</w:t>
            </w:r>
          </w:p>
        </w:tc>
      </w:tr>
    </w:tbl>
    <w:p>
      <w:pPr>
        <w:jc w:val="left"/>
        <w:rPr>
          <w:rFonts w:hint="default" w:ascii="仿宋_GB2312" w:hAnsi="仿宋_GB2312" w:eastAsia="仿宋_GB2312" w:cs="仿宋_GB2312"/>
          <w:b w:val="0"/>
          <w:bCs w:val="0"/>
          <w:sz w:val="30"/>
          <w:szCs w:val="30"/>
          <w:lang w:val="en-US" w:eastAsia="zh-CN"/>
        </w:rPr>
      </w:pPr>
    </w:p>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仿宋">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 w:name="文星标宋">
    <w:altName w:val="方正书宋_GBK"/>
    <w:panose1 w:val="02010604000101010101"/>
    <w:charset w:val="86"/>
    <w:family w:val="auto"/>
    <w:pitch w:val="default"/>
    <w:sig w:usb0="00000000" w:usb1="00000000" w:usb2="00000000"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63409"/>
    <w:rsid w:val="00F34D73"/>
    <w:rsid w:val="02F21311"/>
    <w:rsid w:val="05EB1AC2"/>
    <w:rsid w:val="06CF4970"/>
    <w:rsid w:val="07451BD8"/>
    <w:rsid w:val="08C93787"/>
    <w:rsid w:val="09AA5EC7"/>
    <w:rsid w:val="0A21765F"/>
    <w:rsid w:val="0B916F77"/>
    <w:rsid w:val="10E17B93"/>
    <w:rsid w:val="117F40FD"/>
    <w:rsid w:val="12177168"/>
    <w:rsid w:val="13504C11"/>
    <w:rsid w:val="14366510"/>
    <w:rsid w:val="158F7C42"/>
    <w:rsid w:val="17A92098"/>
    <w:rsid w:val="19487290"/>
    <w:rsid w:val="19FE5ACC"/>
    <w:rsid w:val="1D527E8D"/>
    <w:rsid w:val="1E091084"/>
    <w:rsid w:val="1FDED5F1"/>
    <w:rsid w:val="1FDF765C"/>
    <w:rsid w:val="20716C4C"/>
    <w:rsid w:val="227375EE"/>
    <w:rsid w:val="24DE4051"/>
    <w:rsid w:val="251E7AF0"/>
    <w:rsid w:val="272B0448"/>
    <w:rsid w:val="28024CE3"/>
    <w:rsid w:val="2CC70D15"/>
    <w:rsid w:val="2DBB26A4"/>
    <w:rsid w:val="2EFD8953"/>
    <w:rsid w:val="2F7E6B9C"/>
    <w:rsid w:val="31015EBC"/>
    <w:rsid w:val="31134E47"/>
    <w:rsid w:val="32035839"/>
    <w:rsid w:val="333605A9"/>
    <w:rsid w:val="33E6159B"/>
    <w:rsid w:val="33F00EA3"/>
    <w:rsid w:val="33FEAD40"/>
    <w:rsid w:val="348C0254"/>
    <w:rsid w:val="369C6DA9"/>
    <w:rsid w:val="37953D82"/>
    <w:rsid w:val="3CE460F4"/>
    <w:rsid w:val="3F395866"/>
    <w:rsid w:val="404F2A20"/>
    <w:rsid w:val="42AF22EE"/>
    <w:rsid w:val="42B25790"/>
    <w:rsid w:val="43FF06A1"/>
    <w:rsid w:val="444B1ED6"/>
    <w:rsid w:val="47AC036E"/>
    <w:rsid w:val="48A352BF"/>
    <w:rsid w:val="4B4771C0"/>
    <w:rsid w:val="4CC364F7"/>
    <w:rsid w:val="4FFB8C58"/>
    <w:rsid w:val="53651681"/>
    <w:rsid w:val="53B84782"/>
    <w:rsid w:val="54D651D3"/>
    <w:rsid w:val="557235D3"/>
    <w:rsid w:val="568D4C26"/>
    <w:rsid w:val="580E1B14"/>
    <w:rsid w:val="5ABF18CC"/>
    <w:rsid w:val="5BC665AA"/>
    <w:rsid w:val="5E71292E"/>
    <w:rsid w:val="5EE860AE"/>
    <w:rsid w:val="5FC68D63"/>
    <w:rsid w:val="66A56FDD"/>
    <w:rsid w:val="67836DC0"/>
    <w:rsid w:val="69996D05"/>
    <w:rsid w:val="6A1E1802"/>
    <w:rsid w:val="6C6FDB41"/>
    <w:rsid w:val="6CD45760"/>
    <w:rsid w:val="6D142332"/>
    <w:rsid w:val="6E203F44"/>
    <w:rsid w:val="6EC03F4C"/>
    <w:rsid w:val="702E0741"/>
    <w:rsid w:val="72BF50F6"/>
    <w:rsid w:val="76732414"/>
    <w:rsid w:val="77DF8127"/>
    <w:rsid w:val="77FB113D"/>
    <w:rsid w:val="7922405E"/>
    <w:rsid w:val="7BE73BED"/>
    <w:rsid w:val="7D48017D"/>
    <w:rsid w:val="7DFE469D"/>
    <w:rsid w:val="7EA64419"/>
    <w:rsid w:val="7FB656AC"/>
    <w:rsid w:val="7FFFAF4A"/>
    <w:rsid w:val="9DBF25AD"/>
    <w:rsid w:val="AA3E552D"/>
    <w:rsid w:val="AFBA0F95"/>
    <w:rsid w:val="B97DC601"/>
    <w:rsid w:val="BB3FFF04"/>
    <w:rsid w:val="BBBD9241"/>
    <w:rsid w:val="BDDEC2E4"/>
    <w:rsid w:val="BE724843"/>
    <w:rsid w:val="DDBF78CA"/>
    <w:rsid w:val="DEFC035C"/>
    <w:rsid w:val="EC7C649A"/>
    <w:rsid w:val="EFFFDCCA"/>
    <w:rsid w:val="F73773D1"/>
    <w:rsid w:val="FBBB6292"/>
    <w:rsid w:val="FCEE2E80"/>
    <w:rsid w:val="FD7D6993"/>
    <w:rsid w:val="FDFE85DF"/>
    <w:rsid w:val="FF771049"/>
    <w:rsid w:val="FFFC439F"/>
    <w:rsid w:val="FFFF2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333333"/>
      <w:sz w:val="0"/>
      <w:szCs w:val="0"/>
      <w:u w:val="none"/>
      <w:bdr w:val="single" w:color="D2D2D2" w:sz="6" w:space="0"/>
      <w:shd w:val="clear" w:fill="FFFFFF"/>
    </w:rPr>
  </w:style>
  <w:style w:type="character" w:styleId="12">
    <w:name w:val="Hyperlink"/>
    <w:basedOn w:val="10"/>
    <w:qFormat/>
    <w:uiPriority w:val="0"/>
    <w:rPr>
      <w:color w:val="333333"/>
      <w:u w:val="none"/>
    </w:rPr>
  </w:style>
  <w:style w:type="character" w:customStyle="1" w:styleId="13">
    <w:name w:val="l-btn-icon-left"/>
    <w:basedOn w:val="10"/>
    <w:qFormat/>
    <w:uiPriority w:val="0"/>
  </w:style>
  <w:style w:type="character" w:customStyle="1" w:styleId="14">
    <w:name w:val="l-btn-left"/>
    <w:basedOn w:val="10"/>
    <w:qFormat/>
    <w:uiPriority w:val="0"/>
  </w:style>
  <w:style w:type="character" w:customStyle="1" w:styleId="15">
    <w:name w:val="l-btn-left1"/>
    <w:basedOn w:val="10"/>
    <w:qFormat/>
    <w:uiPriority w:val="0"/>
  </w:style>
  <w:style w:type="character" w:customStyle="1" w:styleId="16">
    <w:name w:val="l-btn-left2"/>
    <w:basedOn w:val="10"/>
    <w:qFormat/>
    <w:uiPriority w:val="0"/>
  </w:style>
  <w:style w:type="character" w:customStyle="1" w:styleId="17">
    <w:name w:val="l-btn-left3"/>
    <w:basedOn w:val="10"/>
    <w:qFormat/>
    <w:uiPriority w:val="0"/>
  </w:style>
  <w:style w:type="character" w:customStyle="1" w:styleId="18">
    <w:name w:val="l-btn-icon-right"/>
    <w:basedOn w:val="10"/>
    <w:qFormat/>
    <w:uiPriority w:val="0"/>
  </w:style>
  <w:style w:type="character" w:customStyle="1" w:styleId="19">
    <w:name w:val="l-btn-text"/>
    <w:basedOn w:val="10"/>
    <w:qFormat/>
    <w:uiPriority w:val="0"/>
    <w:rPr>
      <w:vertAlign w:val="baseline"/>
    </w:rPr>
  </w:style>
  <w:style w:type="character" w:customStyle="1" w:styleId="20">
    <w:name w:val="l-btn-empty"/>
    <w:basedOn w:val="10"/>
    <w:qFormat/>
    <w:uiPriority w:val="0"/>
  </w:style>
  <w:style w:type="character" w:customStyle="1" w:styleId="21">
    <w:name w:val="layui-layer-tabnow"/>
    <w:basedOn w:val="10"/>
    <w:qFormat/>
    <w:uiPriority w:val="0"/>
    <w:rPr>
      <w:bdr w:val="single" w:color="CCCCCC" w:sz="6" w:space="0"/>
      <w:shd w:val="clear" w:fill="FFFFFF"/>
    </w:rPr>
  </w:style>
  <w:style w:type="character" w:customStyle="1" w:styleId="22">
    <w:name w:val="first-child"/>
    <w:basedOn w:val="10"/>
    <w:qFormat/>
    <w:uiPriority w:val="0"/>
  </w:style>
  <w:style w:type="character" w:customStyle="1" w:styleId="23">
    <w:name w:val="hover12"/>
    <w:basedOn w:val="10"/>
    <w:qFormat/>
    <w:uiPriority w:val="0"/>
    <w:rPr>
      <w:shd w:val="clear" w:fill="F3F3F3"/>
    </w:rPr>
  </w:style>
  <w:style w:type="character" w:customStyle="1" w:styleId="24">
    <w:name w:val="hover13"/>
    <w:basedOn w:val="10"/>
    <w:qFormat/>
    <w:uiPriority w:val="0"/>
    <w:rPr>
      <w:sz w:val="21"/>
      <w:szCs w:val="21"/>
    </w:rPr>
  </w:style>
  <w:style w:type="character" w:customStyle="1" w:styleId="25">
    <w:name w:val="hover14"/>
    <w:basedOn w:val="10"/>
    <w:qFormat/>
    <w:uiPriority w:val="0"/>
    <w:rPr>
      <w:shd w:val="clear" w:fill="F3F3F3"/>
    </w:rPr>
  </w:style>
  <w:style w:type="character" w:customStyle="1" w:styleId="26">
    <w:name w:val="l-btn-left4"/>
    <w:basedOn w:val="10"/>
    <w:qFormat/>
    <w:uiPriority w:val="0"/>
  </w:style>
  <w:style w:type="character" w:customStyle="1" w:styleId="27">
    <w:name w:val="l-btn-left5"/>
    <w:basedOn w:val="10"/>
    <w:qFormat/>
    <w:uiPriority w:val="0"/>
  </w:style>
  <w:style w:type="character" w:customStyle="1" w:styleId="28">
    <w:name w:val="hover"/>
    <w:basedOn w:val="10"/>
    <w:qFormat/>
    <w:uiPriority w:val="0"/>
    <w:rPr>
      <w:shd w:val="clear" w:fill="F3F3F3"/>
    </w:rPr>
  </w:style>
  <w:style w:type="character" w:customStyle="1" w:styleId="29">
    <w:name w:val="hover1"/>
    <w:basedOn w:val="10"/>
    <w:qFormat/>
    <w:uiPriority w:val="0"/>
    <w:rPr>
      <w:sz w:val="21"/>
      <w:szCs w:val="21"/>
    </w:rPr>
  </w:style>
  <w:style w:type="character" w:customStyle="1" w:styleId="30">
    <w:name w:val="hover2"/>
    <w:basedOn w:val="10"/>
    <w:qFormat/>
    <w:uiPriority w:val="0"/>
    <w:rPr>
      <w:shd w:val="clear" w:fill="F3F3F3"/>
    </w:rPr>
  </w:style>
  <w:style w:type="character" w:customStyle="1" w:styleId="31">
    <w:name w:val="font01"/>
    <w:basedOn w:val="10"/>
    <w:qFormat/>
    <w:uiPriority w:val="0"/>
    <w:rPr>
      <w:rFonts w:ascii="华文仿宋" w:hAnsi="华文仿宋" w:eastAsia="华文仿宋" w:cs="华文仿宋"/>
      <w:color w:val="000000"/>
      <w:sz w:val="28"/>
      <w:szCs w:val="28"/>
      <w:u w:val="none"/>
    </w:rPr>
  </w:style>
  <w:style w:type="character" w:customStyle="1" w:styleId="32">
    <w:name w:val="font11"/>
    <w:basedOn w:val="10"/>
    <w:qFormat/>
    <w:uiPriority w:val="0"/>
    <w:rPr>
      <w:rFonts w:hint="eastAsia" w:ascii="CESI仿宋-GB2312" w:hAnsi="CESI仿宋-GB2312" w:eastAsia="CESI仿宋-GB2312" w:cs="CESI仿宋-GB2312"/>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1010</Words>
  <Characters>1250</Characters>
  <Lines>0</Lines>
  <Paragraphs>0</Paragraphs>
  <TotalTime>0</TotalTime>
  <ScaleCrop>false</ScaleCrop>
  <LinksUpToDate>false</LinksUpToDate>
  <CharactersWithSpaces>1261</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2014-11-07T12:08:00Z</dcterms:created>
  <dc:creator>lenovo097</dc:creator>
  <cp:lastModifiedBy>kylin</cp:lastModifiedBy>
  <cp:lastPrinted>2022-02-18T03:17:00Z</cp:lastPrinted>
  <dcterms:modified xsi:type="dcterms:W3CDTF">2026-03-17T16:03:25Z</dcterms:modified>
  <dc:title>医疗器械网络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ADD47DE5AF5345BB98150A6CABAD11D1</vt:lpwstr>
  </property>
</Properties>
</file>