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文星标宋" w:hAnsi="文星标宋" w:eastAsia="文星标宋" w:cs="文星标宋"/>
          <w:sz w:val="44"/>
          <w:szCs w:val="44"/>
        </w:rPr>
      </w:pPr>
      <w:bookmarkStart w:id="0" w:name="_GoBack"/>
      <w:bookmarkEnd w:id="0"/>
      <w:r>
        <w:rPr>
          <w:rFonts w:hint="eastAsia" w:ascii="文星标宋" w:hAnsi="文星标宋" w:eastAsia="文星标宋" w:cs="文星标宋"/>
          <w:sz w:val="44"/>
          <w:szCs w:val="44"/>
        </w:rPr>
        <w:t>医疗器械网络销售案信息表</w:t>
      </w:r>
    </w:p>
    <w:p>
      <w:pPr>
        <w:pStyle w:val="2"/>
        <w:rPr>
          <w:rFonts w:hint="eastAsia" w:ascii="仿宋_GB2312" w:hAnsi="仿宋_GB2312" w:eastAsia="仿宋_GB2312" w:cs="仿宋_GB2312"/>
          <w:b w:val="0"/>
          <w:bCs w:val="0"/>
          <w:color w:val="000000"/>
          <w:kern w:val="2"/>
          <w:sz w:val="21"/>
          <w:szCs w:val="21"/>
          <w:lang w:val="en-US" w:eastAsia="zh-CN" w:bidi="ar-SA"/>
        </w:rPr>
      </w:pPr>
    </w:p>
    <w:tbl>
      <w:tblPr>
        <w:tblStyle w:val="8"/>
        <w:tblpPr w:leftFromText="180" w:rightFromText="180" w:vertAnchor="page" w:horzAnchor="page" w:tblpX="1248" w:tblpY="2377"/>
        <w:tblOverlap w:val="never"/>
        <w:tblW w:w="9674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outset" w:color="auto" w:sz="6" w:space="0"/>
          <w:insideV w:val="outset" w:color="auto" w:sz="6" w:space="0"/>
        </w:tblBorders>
        <w:shd w:val="clear" w:color="auto" w:fill="auto"/>
        <w:tblLayout w:type="fixed"/>
        <w:tblCellMar>
          <w:top w:w="0" w:type="dxa"/>
          <w:left w:w="105" w:type="dxa"/>
          <w:bottom w:w="0" w:type="dxa"/>
          <w:right w:w="105" w:type="dxa"/>
        </w:tblCellMar>
      </w:tblPr>
      <w:tblGrid>
        <w:gridCol w:w="1540"/>
        <w:gridCol w:w="1095"/>
        <w:gridCol w:w="2086"/>
        <w:gridCol w:w="495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540" w:hRule="atLeast"/>
        </w:trPr>
        <w:tc>
          <w:tcPr>
            <w:tcW w:w="1540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医疗器械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网络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销售类型</w:t>
            </w:r>
          </w:p>
        </w:tc>
        <w:tc>
          <w:tcPr>
            <w:tcW w:w="8134" w:type="dxa"/>
            <w:gridSpan w:val="3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right="0" w:firstLine="105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入驻类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435" w:hRule="atLeast"/>
        </w:trPr>
        <w:tc>
          <w:tcPr>
            <w:tcW w:w="1540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主  体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信  息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0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企业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名称</w:t>
            </w:r>
          </w:p>
        </w:tc>
        <w:tc>
          <w:tcPr>
            <w:tcW w:w="70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三门峡华为医药零售连锁有限公司明珠家园店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637" w:hRule="atLeast"/>
        </w:trPr>
        <w:tc>
          <w:tcPr>
            <w:tcW w:w="154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0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住  所</w:t>
            </w:r>
          </w:p>
        </w:tc>
        <w:tc>
          <w:tcPr>
            <w:tcW w:w="70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450" w:hRule="atLeast"/>
        </w:trPr>
        <w:tc>
          <w:tcPr>
            <w:tcW w:w="154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0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社会信用代码</w:t>
            </w:r>
          </w:p>
        </w:tc>
        <w:tc>
          <w:tcPr>
            <w:tcW w:w="70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91411202MA44QGT161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450" w:hRule="atLeast"/>
        </w:trPr>
        <w:tc>
          <w:tcPr>
            <w:tcW w:w="154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0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经营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场所</w:t>
            </w:r>
          </w:p>
        </w:tc>
        <w:tc>
          <w:tcPr>
            <w:tcW w:w="70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河南省三门峡市陕州区周公西路明珠家园B2号楼101号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450" w:hRule="atLeast"/>
        </w:trPr>
        <w:tc>
          <w:tcPr>
            <w:tcW w:w="154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0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库房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地址</w:t>
            </w:r>
          </w:p>
        </w:tc>
        <w:tc>
          <w:tcPr>
            <w:tcW w:w="70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605" w:hRule="atLeast"/>
        </w:trPr>
        <w:tc>
          <w:tcPr>
            <w:tcW w:w="154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0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主体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业态</w:t>
            </w:r>
          </w:p>
        </w:tc>
        <w:tc>
          <w:tcPr>
            <w:tcW w:w="70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零售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655" w:hRule="atLeast"/>
        </w:trPr>
        <w:tc>
          <w:tcPr>
            <w:tcW w:w="154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0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  <w:t>医疗器械经营许可证（备案凭证）编号</w:t>
            </w:r>
          </w:p>
        </w:tc>
        <w:tc>
          <w:tcPr>
            <w:tcW w:w="70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 xml:space="preserve">豫三食药监械经营备20180009号     </w:t>
            </w:r>
          </w:p>
          <w:p>
            <w:pPr>
              <w:pStyle w:val="7"/>
              <w:keepNext w:val="0"/>
              <w:keepLines w:val="0"/>
              <w:widowControl/>
              <w:suppressLineNumbers w:val="0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豫三食药监械经营许20180012号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6996" w:hRule="atLeast"/>
        </w:trPr>
        <w:tc>
          <w:tcPr>
            <w:tcW w:w="154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095" w:type="dxa"/>
            <w:tcBorders>
              <w:top w:val="single" w:color="000000" w:sz="8" w:space="0"/>
              <w:left w:val="single" w:color="000000" w:sz="8" w:space="0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default" w:ascii="Calibri" w:hAnsi="Calibri" w:cs="Calibri"/>
                <w:color w:val="000000"/>
                <w:sz w:val="22"/>
                <w:szCs w:val="22"/>
                <w:lang w:val="en-US" w:eastAsia="zh-CN"/>
              </w:rPr>
              <w:t>经营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  <w:r>
              <w:rPr>
                <w:rFonts w:hint="default" w:ascii="Calibri" w:hAnsi="Calibri" w:cs="Calibri"/>
                <w:color w:val="000000"/>
                <w:sz w:val="22"/>
                <w:szCs w:val="22"/>
                <w:lang w:val="en-US" w:eastAsia="zh-CN"/>
              </w:rPr>
              <w:t>范围</w:t>
            </w:r>
          </w:p>
        </w:tc>
        <w:tc>
          <w:tcPr>
            <w:tcW w:w="70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auto" w:sz="4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tabs>
                <w:tab w:val="left" w:pos="258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right="0" w:rightChars="0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原分类目录：第二类：6801基础外科手术器械，6815注射穿刺器械，6820普通诊察器械，6821医用电子仪器设备，6823医用超声仪器及有关设备，6826物理治疗及康复设备，6827中医器械，6840临床检验分析仪器及诊断试剂（诊断试剂不需低温冷藏运输贮存），6841医用化验和基础设备器具，6846植入材料和人工器官，6854手术室、急救室、诊疗室设备及器具，6856病房护理设备及器具，6857消毒和灭菌设备及器具，6864医用卫生材料及敷料，6865医用缝合材料及粘合剂，6866医用高分子材料及制品；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tabs>
                <w:tab w:val="left" w:pos="258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right="0" w:rightChars="0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" w:eastAsia="zh-CN" w:bidi="ar-SA"/>
              </w:rPr>
              <w:t>新分类目录：</w:t>
            </w:r>
            <w:r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" w:eastAsia="zh-CN" w:bidi="ar-SA"/>
              </w:rPr>
              <w:t>第二类：01有源手术器械，02无源手术器械，04骨科手术器械，06医用成像器械，07医用诊察和监护器械，08呼吸、麻醉和急救器械，09物理治疗器械，10输血、透析和体外循环器械，11医疗器械消毒灭菌器械，12有源植入器械，14注输、护理和防护器械，15患者承载器械，16眼科器械，17口腔科器械，18妇产科、辅助生殖和避孕器械，19医用康复器械，20中医器械，21医用软件，22临床检验器械</w:t>
            </w: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" w:eastAsia="zh-CN" w:bidi="ar-SA"/>
              </w:rPr>
              <w:t>；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tabs>
                <w:tab w:val="left" w:pos="258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right="0" w:rightChars="0"/>
              <w:jc w:val="both"/>
              <w:textAlignment w:val="auto"/>
              <w:rPr>
                <w:rFonts w:hint="default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" w:eastAsia="zh-CN" w:bidi="ar-SA"/>
              </w:rPr>
              <w:t>原分类目录：第三类：6815注射穿刺器械，6825医用高频仪器设备，6840临床检验分析仪器及诊断试剂（诊断试剂不需低温冷藏运输贮存），6854手术室、急救室、诊疗室设备及器具，6865医用缝合材料及粘合剂，6866医用高分子材料及制品；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1584" w:hRule="atLeast"/>
        </w:trPr>
        <w:tc>
          <w:tcPr>
            <w:tcW w:w="1540" w:type="dxa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1095" w:type="dxa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/>
                <w:color w:val="000000"/>
                <w:sz w:val="22"/>
                <w:szCs w:val="22"/>
                <w:lang w:val="en-US" w:eastAsia="zh-CN"/>
              </w:rPr>
            </w:pPr>
          </w:p>
        </w:tc>
        <w:tc>
          <w:tcPr>
            <w:tcW w:w="7039" w:type="dxa"/>
            <w:gridSpan w:val="2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tabs>
                <w:tab w:val="left" w:pos="2586"/>
              </w:tabs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360" w:lineRule="exact"/>
              <w:ind w:right="0" w:rightChars="0"/>
              <w:jc w:val="both"/>
              <w:textAlignment w:val="auto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" w:eastAsia="zh-CN" w:bidi="ar-SA"/>
              </w:rPr>
              <w:t>新分类目录：第三类：01有源手术器械，02无源手术器械，07医用诊察和监护设备，08呼吸、麻醉和急救器械，09物理治疗器械，10输血、透析和体外循环器械，14注输、护理和防护器械，16眼科器械，18妇产科、辅助生殖和避孕器械，22临床检验器械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1405" w:hRule="exact"/>
        </w:trPr>
        <w:tc>
          <w:tcPr>
            <w:tcW w:w="1540" w:type="dxa"/>
            <w:vMerge w:val="restart"/>
            <w:tcBorders>
              <w:top w:val="single" w:color="auto" w:sz="4" w:space="0"/>
              <w:left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1095" w:type="dxa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法定代表人</w:t>
            </w:r>
          </w:p>
        </w:tc>
        <w:tc>
          <w:tcPr>
            <w:tcW w:w="7039" w:type="dxa"/>
            <w:gridSpan w:val="2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hd w:val="clear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/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outset" w:color="auto" w:sz="6" w:space="0"/>
            <w:insideV w:val="outset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1515" w:hRule="exact"/>
        </w:trPr>
        <w:tc>
          <w:tcPr>
            <w:tcW w:w="154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jc w:val="center"/>
              <w:textAlignment w:val="auto"/>
              <w:outlineLvl w:val="9"/>
              <w:rPr>
                <w:rFonts w:hint="eastAsia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109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  <w:r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  <w:t>企业负责人</w:t>
            </w: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default" w:ascii="Calibri" w:hAnsi="Calibri" w:cs="Calibri" w:eastAsiaTheme="minorEastAsia"/>
                <w:color w:val="000000"/>
                <w:kern w:val="0"/>
                <w:sz w:val="22"/>
                <w:szCs w:val="22"/>
                <w:lang w:val="en-US" w:eastAsia="zh-CN" w:bidi="ar"/>
              </w:rPr>
            </w:pPr>
          </w:p>
        </w:tc>
        <w:tc>
          <w:tcPr>
            <w:tcW w:w="7039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widowControl/>
              <w:suppressLineNumbers w:val="0"/>
              <w:shd w:val="clear"/>
              <w:spacing w:before="0" w:beforeAutospacing="0" w:after="0" w:afterAutospacing="0" w:line="315" w:lineRule="atLeast"/>
              <w:ind w:left="0" w:leftChars="0" w:right="0" w:rightChars="0" w:firstLine="105" w:firstLineChars="0"/>
              <w:jc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  <w:t>胡志丹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000000" w:sz="6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992" w:hRule="atLeast"/>
        </w:trPr>
        <w:tc>
          <w:tcPr>
            <w:tcW w:w="1540" w:type="dxa"/>
            <w:vMerge w:val="restart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right="0"/>
              <w:jc w:val="center"/>
              <w:textAlignment w:val="auto"/>
              <w:outlineLvl w:val="9"/>
              <w:rPr>
                <w:rFonts w:hint="eastAsia" w:ascii="仿宋_GB2312" w:hAnsi="仿宋_GB2312" w:eastAsia="仿宋_GB2312" w:cs="仿宋_GB2312"/>
                <w:color w:val="000000"/>
                <w:sz w:val="24"/>
                <w:szCs w:val="24"/>
              </w:rPr>
            </w:pPr>
            <w:r>
              <w:rPr>
                <w:rFonts w:hint="eastAsia" w:ascii="Calibri" w:hAnsi="Calibri" w:cs="Calibri"/>
                <w:color w:val="000000"/>
                <w:sz w:val="22"/>
                <w:szCs w:val="22"/>
              </w:rPr>
              <w:t>医疗器械网络交易服务第三方平台信息（入驻类）</w:t>
            </w:r>
          </w:p>
        </w:tc>
        <w:tc>
          <w:tcPr>
            <w:tcW w:w="31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hint="eastAsia" w:ascii="Calibri" w:hAnsi="Calibri" w:cs="Calibri"/>
                <w:color w:val="000000"/>
                <w:sz w:val="24"/>
                <w:szCs w:val="24"/>
              </w:rPr>
              <w:t>医疗器械网络交易服务第三方平台名称</w:t>
            </w:r>
          </w:p>
        </w:tc>
        <w:tc>
          <w:tcPr>
            <w:tcW w:w="495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pStyle w:val="7"/>
              <w:keepNext w:val="0"/>
              <w:keepLines w:val="0"/>
              <w:pageBreakBefore w:val="0"/>
              <w:widowControl/>
              <w:suppressLineNumbers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Autospacing="0" w:after="0" w:afterAutospacing="0" w:line="240" w:lineRule="exact"/>
              <w:ind w:left="0" w:leftChars="0" w:right="0" w:rightChars="0"/>
              <w:jc w:val="center"/>
              <w:textAlignment w:val="auto"/>
              <w:outlineLvl w:val="9"/>
              <w:rPr>
                <w:rFonts w:hint="eastAsia" w:ascii="Calibri" w:hAnsi="Calibri" w:cs="Calibri"/>
                <w:color w:val="000000"/>
                <w:sz w:val="24"/>
                <w:szCs w:val="24"/>
              </w:rPr>
            </w:pPr>
            <w:r>
              <w:rPr>
                <w:rFonts w:hint="eastAsia" w:ascii="Calibri" w:hAnsi="Calibri" w:cs="Calibri"/>
                <w:color w:val="000000"/>
                <w:sz w:val="24"/>
                <w:szCs w:val="24"/>
              </w:rPr>
              <w:t>医疗器械网络交易服务第三方平台备案凭证编号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000000" w:sz="6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759" w:hRule="atLeast"/>
        </w:trPr>
        <w:tc>
          <w:tcPr>
            <w:tcW w:w="154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1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浙江亿保医药科技有限公司（老白）</w:t>
            </w:r>
          </w:p>
        </w:tc>
        <w:tc>
          <w:tcPr>
            <w:tcW w:w="495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（浙）网械平台备字（2020）第00032号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000000" w:sz="6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827" w:hRule="atLeast"/>
        </w:trPr>
        <w:tc>
          <w:tcPr>
            <w:tcW w:w="1540" w:type="dxa"/>
            <w:vMerge w:val="continue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181" w:type="dxa"/>
            <w:gridSpan w:val="2"/>
            <w:tcBorders>
              <w:top w:val="single" w:color="000000" w:sz="8" w:space="0"/>
              <w:left w:val="single" w:color="000000" w:sz="8" w:space="0"/>
              <w:bottom w:val="single" w:color="auto" w:sz="4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上海拉扎斯信息科技有限公司（饿了么）</w:t>
            </w:r>
          </w:p>
        </w:tc>
        <w:tc>
          <w:tcPr>
            <w:tcW w:w="4953" w:type="dxa"/>
            <w:tcBorders>
              <w:top w:val="single" w:color="000000" w:sz="8" w:space="0"/>
              <w:left w:val="single" w:color="000000" w:sz="8" w:space="0"/>
              <w:bottom w:val="single" w:color="auto" w:sz="4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（沪）网械平台备字(2018) 第00004号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000000" w:sz="6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689" w:hRule="atLeast"/>
        </w:trPr>
        <w:tc>
          <w:tcPr>
            <w:tcW w:w="1540" w:type="dxa"/>
            <w:vMerge w:val="continue"/>
            <w:tcBorders>
              <w:left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181" w:type="dxa"/>
            <w:gridSpan w:val="2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上海京东到家友恒电商信息技术有限公司（京东到家）</w:t>
            </w:r>
          </w:p>
        </w:tc>
        <w:tc>
          <w:tcPr>
            <w:tcW w:w="4953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（沪）网械平台备字（2018）第00002号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000000" w:sz="6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853" w:hRule="atLeast"/>
        </w:trPr>
        <w:tc>
          <w:tcPr>
            <w:tcW w:w="1540" w:type="dxa"/>
            <w:vMerge w:val="continue"/>
            <w:tcBorders>
              <w:left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181" w:type="dxa"/>
            <w:gridSpan w:val="2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北京京东叁佰陆拾度电子商务有限公司（京东APP）</w:t>
            </w:r>
          </w:p>
        </w:tc>
        <w:tc>
          <w:tcPr>
            <w:tcW w:w="4953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（京）网械平台备字（2023）第00013号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000000" w:sz="6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599" w:hRule="atLeast"/>
        </w:trPr>
        <w:tc>
          <w:tcPr>
            <w:tcW w:w="1540" w:type="dxa"/>
            <w:vMerge w:val="continue"/>
            <w:tcBorders>
              <w:left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181" w:type="dxa"/>
            <w:gridSpan w:val="2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北京三快科技有限公司（美团网）</w:t>
            </w:r>
          </w:p>
        </w:tc>
        <w:tc>
          <w:tcPr>
            <w:tcW w:w="4953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（京）网械平台备字（2018）第00004号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000000" w:sz="6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887" w:hRule="atLeast"/>
        </w:trPr>
        <w:tc>
          <w:tcPr>
            <w:tcW w:w="1540" w:type="dxa"/>
            <w:vMerge w:val="continue"/>
            <w:tcBorders>
              <w:left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181" w:type="dxa"/>
            <w:gridSpan w:val="2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北京瓴科数创科技有限公司(高济药急送、高济健康)</w:t>
            </w:r>
          </w:p>
        </w:tc>
        <w:tc>
          <w:tcPr>
            <w:tcW w:w="4953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（京）网械平台备字（2020）第00010号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000000" w:sz="6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633" w:hRule="atLeast"/>
        </w:trPr>
        <w:tc>
          <w:tcPr>
            <w:tcW w:w="1540" w:type="dxa"/>
            <w:vMerge w:val="continue"/>
            <w:tcBorders>
              <w:left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181" w:type="dxa"/>
            <w:gridSpan w:val="2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上海寻梦信息技术有限公司（拼多多）</w:t>
            </w:r>
          </w:p>
        </w:tc>
        <w:tc>
          <w:tcPr>
            <w:tcW w:w="4953" w:type="dxa"/>
            <w:tcBorders>
              <w:top w:val="single" w:color="auto" w:sz="4" w:space="0"/>
              <w:left w:val="single" w:color="000000" w:sz="8" w:space="0"/>
              <w:bottom w:val="single" w:color="auto" w:sz="4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（沪）网械平台备字(2018）第00003号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000000" w:sz="6" w:space="0"/>
            <w:insideH w:val="single" w:color="auto" w:sz="6" w:space="0"/>
            <w:insideV w:val="single" w:color="auto" w:sz="6" w:space="0"/>
          </w:tblBorders>
          <w:shd w:val="clear" w:color="auto" w:fill="auto"/>
          <w:tblCellMar>
            <w:top w:w="0" w:type="dxa"/>
            <w:left w:w="105" w:type="dxa"/>
            <w:bottom w:w="0" w:type="dxa"/>
            <w:right w:w="105" w:type="dxa"/>
          </w:tblCellMar>
        </w:tblPrEx>
        <w:trPr>
          <w:trHeight w:val="1404" w:hRule="atLeast"/>
        </w:trPr>
        <w:tc>
          <w:tcPr>
            <w:tcW w:w="1540" w:type="dxa"/>
            <w:vMerge w:val="continue"/>
            <w:tcBorders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exact"/>
              <w:textAlignment w:val="auto"/>
              <w:outlineLvl w:val="9"/>
              <w:rPr>
                <w:rFonts w:hint="eastAsia" w:ascii="仿宋_GB2312" w:hAnsi="仿宋_GB2312" w:eastAsia="仿宋_GB2312" w:cs="仿宋_GB2312"/>
                <w:b w:val="0"/>
                <w:bCs w:val="0"/>
                <w:color w:val="000000"/>
                <w:kern w:val="2"/>
                <w:sz w:val="21"/>
                <w:szCs w:val="21"/>
                <w:lang w:val="en-US" w:eastAsia="zh-CN" w:bidi="ar-SA"/>
              </w:rPr>
            </w:pPr>
          </w:p>
        </w:tc>
        <w:tc>
          <w:tcPr>
            <w:tcW w:w="3181" w:type="dxa"/>
            <w:gridSpan w:val="2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上海格物致品网络科技有限公司（抖音-抖音电商）</w:t>
            </w:r>
          </w:p>
        </w:tc>
        <w:tc>
          <w:tcPr>
            <w:tcW w:w="4953" w:type="dxa"/>
            <w:tcBorders>
              <w:top w:val="single" w:color="auto" w:sz="4" w:space="0"/>
              <w:left w:val="single" w:color="000000" w:sz="8" w:space="0"/>
              <w:bottom w:val="single" w:color="000000" w:sz="8" w:space="0"/>
              <w:right w:val="single" w:color="000000" w:sz="8" w:space="0"/>
              <w:tl2br w:val="nil"/>
              <w:tr2bl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CESI仿宋-GB2312" w:hAnsi="CESI仿宋-GB2312" w:eastAsia="CESI仿宋-GB2312" w:cs="CESI仿宋-GB2312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（沪）网械平台备字[2022]第00002号</w:t>
            </w:r>
          </w:p>
        </w:tc>
      </w:tr>
    </w:tbl>
    <w:p>
      <w:pPr>
        <w:pStyle w:val="2"/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exact"/>
        <w:ind w:left="0" w:leftChars="0" w:firstLine="0" w:firstLineChars="0"/>
        <w:jc w:val="both"/>
        <w:textAlignment w:val="auto"/>
        <w:rPr>
          <w:rFonts w:hint="eastAsia" w:ascii="宋体" w:hAnsi="宋体" w:eastAsia="宋体" w:cs="宋体"/>
          <w:sz w:val="21"/>
          <w:szCs w:val="21"/>
          <w:lang w:val="en-US" w:eastAsia="zh-CN"/>
        </w:rPr>
      </w:pPr>
    </w:p>
    <w:sectPr>
      <w:pgSz w:w="11906" w:h="16838"/>
      <w:pgMar w:top="1134" w:right="1134" w:bottom="1134" w:left="1134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文星标宋">
    <w:altName w:val="方正书宋_GBK"/>
    <w:panose1 w:val="02010604000101010101"/>
    <w:charset w:val="86"/>
    <w:family w:val="auto"/>
    <w:pitch w:val="default"/>
    <w:sig w:usb0="00000000" w:usb1="00000000" w:usb2="00000000" w:usb3="00000000" w:csb0="00040001" w:csb1="00000000"/>
  </w:font>
  <w:font w:name="仿宋_GB2312">
    <w:altName w:val="方正仿宋_GBK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CESI仿宋-GB2312">
    <w:panose1 w:val="02000500000000000000"/>
    <w:charset w:val="86"/>
    <w:family w:val="auto"/>
    <w:pitch w:val="default"/>
    <w:sig w:usb0="800002AF" w:usb1="084F6CF8" w:usb2="00000010" w:usb3="00000000" w:csb0="0004000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false"/>
  <w:bordersDoNotSurroundFooter w:val="false"/>
  <w:documentProtection w:enforcement="0"/>
  <w:defaultTabStop w:val="420"/>
  <w:drawingGridVerticalSpacing w:val="156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2F21311"/>
    <w:rsid w:val="056064D9"/>
    <w:rsid w:val="05EB1AC2"/>
    <w:rsid w:val="06217CFA"/>
    <w:rsid w:val="08C93787"/>
    <w:rsid w:val="09CB146A"/>
    <w:rsid w:val="0A21765F"/>
    <w:rsid w:val="11035B95"/>
    <w:rsid w:val="117F40FD"/>
    <w:rsid w:val="11E9694C"/>
    <w:rsid w:val="12177168"/>
    <w:rsid w:val="13504C11"/>
    <w:rsid w:val="13F6023F"/>
    <w:rsid w:val="14366510"/>
    <w:rsid w:val="158F7C42"/>
    <w:rsid w:val="16F059F5"/>
    <w:rsid w:val="17A92098"/>
    <w:rsid w:val="18D907FA"/>
    <w:rsid w:val="20716C4C"/>
    <w:rsid w:val="227375EE"/>
    <w:rsid w:val="229B7C01"/>
    <w:rsid w:val="251E7AF0"/>
    <w:rsid w:val="272B0448"/>
    <w:rsid w:val="2B2D23C0"/>
    <w:rsid w:val="2CB00892"/>
    <w:rsid w:val="2CBF47FD"/>
    <w:rsid w:val="2CC70D15"/>
    <w:rsid w:val="2DBB26A4"/>
    <w:rsid w:val="2F7E6B9C"/>
    <w:rsid w:val="2FED4F66"/>
    <w:rsid w:val="31015EBC"/>
    <w:rsid w:val="31134E47"/>
    <w:rsid w:val="316969D1"/>
    <w:rsid w:val="32035839"/>
    <w:rsid w:val="33C20608"/>
    <w:rsid w:val="33F00EA3"/>
    <w:rsid w:val="348C0254"/>
    <w:rsid w:val="369C6DA9"/>
    <w:rsid w:val="39137EFE"/>
    <w:rsid w:val="39F4ACC8"/>
    <w:rsid w:val="3A085379"/>
    <w:rsid w:val="3BE7B26B"/>
    <w:rsid w:val="3CE460F4"/>
    <w:rsid w:val="3F4E387D"/>
    <w:rsid w:val="3FCF013E"/>
    <w:rsid w:val="404F2A20"/>
    <w:rsid w:val="42B25790"/>
    <w:rsid w:val="43FF06A1"/>
    <w:rsid w:val="48A352BF"/>
    <w:rsid w:val="496B26C9"/>
    <w:rsid w:val="4B4771C0"/>
    <w:rsid w:val="4B4C2590"/>
    <w:rsid w:val="4FDF2B4D"/>
    <w:rsid w:val="53651681"/>
    <w:rsid w:val="53B84782"/>
    <w:rsid w:val="54D651D3"/>
    <w:rsid w:val="563EB1F9"/>
    <w:rsid w:val="57520D34"/>
    <w:rsid w:val="580E1B14"/>
    <w:rsid w:val="5A725E7A"/>
    <w:rsid w:val="5AC65628"/>
    <w:rsid w:val="5AFE01F2"/>
    <w:rsid w:val="5B0B1334"/>
    <w:rsid w:val="5B3E5D76"/>
    <w:rsid w:val="5BC665AA"/>
    <w:rsid w:val="5F1F896D"/>
    <w:rsid w:val="634A7517"/>
    <w:rsid w:val="64D07650"/>
    <w:rsid w:val="66A56FDD"/>
    <w:rsid w:val="66BF4997"/>
    <w:rsid w:val="67836DC0"/>
    <w:rsid w:val="69166EA8"/>
    <w:rsid w:val="69171EDD"/>
    <w:rsid w:val="69996D05"/>
    <w:rsid w:val="6A1E1802"/>
    <w:rsid w:val="6BCFF9A6"/>
    <w:rsid w:val="6D142332"/>
    <w:rsid w:val="6D4F47B6"/>
    <w:rsid w:val="6DCD1C2A"/>
    <w:rsid w:val="6E203F44"/>
    <w:rsid w:val="6EC03F4C"/>
    <w:rsid w:val="6EFF6F57"/>
    <w:rsid w:val="6F5E1A2C"/>
    <w:rsid w:val="702E0741"/>
    <w:rsid w:val="70432CBE"/>
    <w:rsid w:val="733F71F4"/>
    <w:rsid w:val="75CE2CD5"/>
    <w:rsid w:val="76CFA7D1"/>
    <w:rsid w:val="7B735ED8"/>
    <w:rsid w:val="7BDDAC00"/>
    <w:rsid w:val="7D48017D"/>
    <w:rsid w:val="7E5271AC"/>
    <w:rsid w:val="7E6479EE"/>
    <w:rsid w:val="7EFA36E6"/>
    <w:rsid w:val="7F297719"/>
    <w:rsid w:val="7F7BAB47"/>
    <w:rsid w:val="7FFFA92A"/>
    <w:rsid w:val="BB7FA9E4"/>
    <w:rsid w:val="BFD70B42"/>
    <w:rsid w:val="C3FEEDF7"/>
    <w:rsid w:val="C5BDA557"/>
    <w:rsid w:val="CED78018"/>
    <w:rsid w:val="D2EB5255"/>
    <w:rsid w:val="D6F76A8A"/>
    <w:rsid w:val="D77D059B"/>
    <w:rsid w:val="DC3F51A2"/>
    <w:rsid w:val="DEF6C2DD"/>
    <w:rsid w:val="DFDEF74A"/>
    <w:rsid w:val="F4FFF311"/>
    <w:rsid w:val="F59F7AFE"/>
    <w:rsid w:val="F5FB51F5"/>
    <w:rsid w:val="F6F73795"/>
    <w:rsid w:val="FDEEE938"/>
    <w:rsid w:val="FE7E5DD0"/>
    <w:rsid w:val="FEEB8FEF"/>
    <w:rsid w:val="FFBCB930"/>
    <w:rsid w:val="FFF51B7F"/>
    <w:rsid w:val="FFFBC5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4">
    <w:name w:val="heading 5"/>
    <w:basedOn w:val="1"/>
    <w:next w:val="1"/>
    <w:semiHidden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0"/>
      <w:szCs w:val="20"/>
      <w:lang w:val="en-US" w:eastAsia="zh-CN" w:bidi="ar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0"/>
    <w:pPr>
      <w:ind w:firstLine="420" w:firstLineChars="200"/>
    </w:pPr>
  </w:style>
  <w:style w:type="paragraph" w:styleId="3">
    <w:name w:val="Body Text Indent"/>
    <w:basedOn w:val="1"/>
    <w:qFormat/>
    <w:uiPriority w:val="0"/>
    <w:pPr>
      <w:spacing w:after="120" w:afterLines="0" w:afterAutospacing="0"/>
      <w:ind w:left="420" w:leftChars="200"/>
    </w:p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FollowedHyperlink"/>
    <w:basedOn w:val="10"/>
    <w:qFormat/>
    <w:uiPriority w:val="0"/>
    <w:rPr>
      <w:color w:val="333333"/>
      <w:sz w:val="0"/>
      <w:szCs w:val="0"/>
      <w:u w:val="none"/>
      <w:bdr w:val="single" w:color="D2D2D2" w:sz="6" w:space="0"/>
      <w:shd w:val="clear" w:fill="FFFFFF"/>
    </w:rPr>
  </w:style>
  <w:style w:type="character" w:styleId="12">
    <w:name w:val="Hyperlink"/>
    <w:basedOn w:val="10"/>
    <w:qFormat/>
    <w:uiPriority w:val="0"/>
    <w:rPr>
      <w:color w:val="333333"/>
      <w:u w:val="none"/>
    </w:rPr>
  </w:style>
  <w:style w:type="character" w:customStyle="1" w:styleId="13">
    <w:name w:val="l-btn-icon-left"/>
    <w:basedOn w:val="10"/>
    <w:qFormat/>
    <w:uiPriority w:val="0"/>
  </w:style>
  <w:style w:type="character" w:customStyle="1" w:styleId="14">
    <w:name w:val="l-btn-left"/>
    <w:basedOn w:val="10"/>
    <w:qFormat/>
    <w:uiPriority w:val="0"/>
  </w:style>
  <w:style w:type="character" w:customStyle="1" w:styleId="15">
    <w:name w:val="l-btn-left1"/>
    <w:basedOn w:val="10"/>
    <w:qFormat/>
    <w:uiPriority w:val="0"/>
  </w:style>
  <w:style w:type="character" w:customStyle="1" w:styleId="16">
    <w:name w:val="l-btn-left2"/>
    <w:basedOn w:val="10"/>
    <w:qFormat/>
    <w:uiPriority w:val="0"/>
  </w:style>
  <w:style w:type="character" w:customStyle="1" w:styleId="17">
    <w:name w:val="l-btn-left3"/>
    <w:basedOn w:val="10"/>
    <w:qFormat/>
    <w:uiPriority w:val="0"/>
  </w:style>
  <w:style w:type="character" w:customStyle="1" w:styleId="18">
    <w:name w:val="l-btn-icon-right"/>
    <w:basedOn w:val="10"/>
    <w:qFormat/>
    <w:uiPriority w:val="0"/>
  </w:style>
  <w:style w:type="character" w:customStyle="1" w:styleId="19">
    <w:name w:val="l-btn-text"/>
    <w:basedOn w:val="10"/>
    <w:qFormat/>
    <w:uiPriority w:val="0"/>
    <w:rPr>
      <w:vertAlign w:val="baseline"/>
    </w:rPr>
  </w:style>
  <w:style w:type="character" w:customStyle="1" w:styleId="20">
    <w:name w:val="l-btn-empty"/>
    <w:basedOn w:val="10"/>
    <w:qFormat/>
    <w:uiPriority w:val="0"/>
  </w:style>
  <w:style w:type="character" w:customStyle="1" w:styleId="21">
    <w:name w:val="layui-layer-tabnow"/>
    <w:basedOn w:val="10"/>
    <w:qFormat/>
    <w:uiPriority w:val="0"/>
    <w:rPr>
      <w:bdr w:val="single" w:color="CCCCCC" w:sz="6" w:space="0"/>
      <w:shd w:val="clear" w:fill="FFFFFF"/>
    </w:rPr>
  </w:style>
  <w:style w:type="character" w:customStyle="1" w:styleId="22">
    <w:name w:val="first-child"/>
    <w:basedOn w:val="10"/>
    <w:qFormat/>
    <w:uiPriority w:val="0"/>
  </w:style>
  <w:style w:type="character" w:customStyle="1" w:styleId="23">
    <w:name w:val="hover12"/>
    <w:basedOn w:val="10"/>
    <w:qFormat/>
    <w:uiPriority w:val="0"/>
    <w:rPr>
      <w:shd w:val="clear" w:fill="F3F3F3"/>
    </w:rPr>
  </w:style>
  <w:style w:type="character" w:customStyle="1" w:styleId="24">
    <w:name w:val="hover13"/>
    <w:basedOn w:val="10"/>
    <w:qFormat/>
    <w:uiPriority w:val="0"/>
    <w:rPr>
      <w:sz w:val="21"/>
      <w:szCs w:val="21"/>
    </w:rPr>
  </w:style>
  <w:style w:type="character" w:customStyle="1" w:styleId="25">
    <w:name w:val="hover14"/>
    <w:basedOn w:val="10"/>
    <w:qFormat/>
    <w:uiPriority w:val="0"/>
    <w:rPr>
      <w:shd w:val="clear" w:fill="F3F3F3"/>
    </w:rPr>
  </w:style>
  <w:style w:type="character" w:customStyle="1" w:styleId="26">
    <w:name w:val="l-btn-left4"/>
    <w:basedOn w:val="10"/>
    <w:qFormat/>
    <w:uiPriority w:val="0"/>
  </w:style>
  <w:style w:type="character" w:customStyle="1" w:styleId="27">
    <w:name w:val="l-btn-left5"/>
    <w:basedOn w:val="10"/>
    <w:qFormat/>
    <w:uiPriority w:val="0"/>
  </w:style>
  <w:style w:type="character" w:customStyle="1" w:styleId="28">
    <w:name w:val="hover"/>
    <w:basedOn w:val="10"/>
    <w:qFormat/>
    <w:uiPriority w:val="0"/>
    <w:rPr>
      <w:shd w:val="clear" w:fill="F3F3F3"/>
    </w:rPr>
  </w:style>
  <w:style w:type="character" w:customStyle="1" w:styleId="29">
    <w:name w:val="hover1"/>
    <w:basedOn w:val="10"/>
    <w:qFormat/>
    <w:uiPriority w:val="0"/>
    <w:rPr>
      <w:sz w:val="21"/>
      <w:szCs w:val="21"/>
    </w:rPr>
  </w:style>
  <w:style w:type="character" w:customStyle="1" w:styleId="30">
    <w:name w:val="hover2"/>
    <w:basedOn w:val="10"/>
    <w:qFormat/>
    <w:uiPriority w:val="0"/>
    <w:rPr>
      <w:shd w:val="clear" w:fill="F3F3F3"/>
    </w:rPr>
  </w:style>
  <w:style w:type="character" w:customStyle="1" w:styleId="31">
    <w:name w:val="hover10"/>
    <w:basedOn w:val="10"/>
    <w:qFormat/>
    <w:uiPriority w:val="0"/>
    <w:rPr>
      <w:shd w:val="clear" w:fill="F3F3F3"/>
    </w:rPr>
  </w:style>
  <w:style w:type="character" w:customStyle="1" w:styleId="32">
    <w:name w:val="hover11"/>
    <w:basedOn w:val="10"/>
    <w:qFormat/>
    <w:uiPriority w:val="0"/>
    <w:rPr>
      <w:sz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1010</Words>
  <Characters>1250</Characters>
  <Lines>0</Lines>
  <Paragraphs>0</Paragraphs>
  <TotalTime>1</TotalTime>
  <ScaleCrop>false</ScaleCrop>
  <LinksUpToDate>false</LinksUpToDate>
  <CharactersWithSpaces>1261</CharactersWithSpaces>
  <Application>WPS Office_11.8.2.10534_F1E327BC-269C-435d-A152-05C5408002CA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2014-11-08T04:08:00Z</dcterms:created>
  <dc:creator>lenovo097</dc:creator>
  <cp:lastModifiedBy>kylin</cp:lastModifiedBy>
  <cp:lastPrinted>2022-04-06T01:23:00Z</cp:lastPrinted>
  <dcterms:modified xsi:type="dcterms:W3CDTF">2025-06-03T15:43:51Z</dcterms:modified>
  <dc:title>医疗器械网络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2052-11.8.2.10534</vt:lpwstr>
  </property>
  <property fmtid="{D5CDD505-2E9C-101B-9397-08002B2CF9AE}" pid="3" name="ICV">
    <vt:lpwstr>ADD47DE5AF5345BB98150A6CABAD11D1</vt:lpwstr>
  </property>
</Properties>
</file>