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eastAsia="zh-CN"/>
        </w:rPr>
        <w:t>三门峡市场监管系统</w:t>
      </w: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民生领域案件查办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“铁拳”行动典型案例（一</w:t>
      </w:r>
      <w:bookmarkStart w:id="0" w:name="_GoBack"/>
      <w:bookmarkEnd w:id="0"/>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w:t>
      </w:r>
    </w:p>
    <w:p>
      <w:pPr>
        <w:keepNext w:val="0"/>
        <w:keepLines w:val="0"/>
        <w:pageBreakBefore w:val="0"/>
        <w:widowControl w:val="0"/>
        <w:kinsoku/>
        <w:wordWrap/>
        <w:overflowPunct/>
        <w:topLinePunct w:val="0"/>
        <w:bidi w:val="0"/>
        <w:adjustRightInd w:val="0"/>
        <w:snapToGrid w:val="0"/>
        <w:spacing w:line="600" w:lineRule="exact"/>
        <w:textAlignment w:val="auto"/>
        <w:rPr>
          <w:rFonts w:hint="eastAsia" w:cs="Times New Roman"/>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仿宋_GB2312" w:cs="Times New Roman"/>
          <w:color w:val="auto"/>
          <w:w w:val="100"/>
          <w:sz w:val="32"/>
          <w:szCs w:val="32"/>
          <w:lang w:val="en-US" w:eastAsia="zh-CN"/>
        </w:rPr>
      </w:pPr>
      <w:r>
        <w:rPr>
          <w:rFonts w:hint="eastAsia" w:cs="Times New Roman"/>
          <w:sz w:val="32"/>
          <w:szCs w:val="32"/>
          <w:lang w:eastAsia="zh-CN"/>
        </w:rPr>
        <w:t>按照总局、省局“铁拳”行动工作部署，为</w:t>
      </w:r>
      <w:r>
        <w:rPr>
          <w:rFonts w:hint="default" w:ascii="Times New Roman" w:hAnsi="Times New Roman" w:eastAsia="仿宋_GB2312" w:cs="Times New Roman"/>
          <w:color w:val="auto"/>
          <w:w w:val="100"/>
          <w:sz w:val="32"/>
          <w:szCs w:val="32"/>
          <w:lang w:val="en-US" w:eastAsia="zh-CN"/>
        </w:rPr>
        <w:t>进一步优化营商环境</w:t>
      </w:r>
      <w:r>
        <w:rPr>
          <w:rFonts w:hint="eastAsia" w:cs="Times New Roman"/>
          <w:color w:val="auto"/>
          <w:w w:val="100"/>
          <w:sz w:val="32"/>
          <w:szCs w:val="32"/>
          <w:lang w:val="en-US" w:eastAsia="zh-CN"/>
        </w:rPr>
        <w:t>，</w:t>
      </w:r>
      <w:r>
        <w:rPr>
          <w:rFonts w:hint="eastAsia" w:cs="Times New Roman"/>
          <w:sz w:val="32"/>
          <w:szCs w:val="32"/>
          <w:lang w:eastAsia="zh-CN"/>
        </w:rPr>
        <w:t>切实</w:t>
      </w:r>
      <w:r>
        <w:rPr>
          <w:rFonts w:hint="default" w:ascii="Times New Roman" w:hAnsi="Times New Roman" w:eastAsia="仿宋_GB2312" w:cs="Times New Roman"/>
          <w:color w:val="auto"/>
          <w:w w:val="100"/>
          <w:sz w:val="32"/>
          <w:szCs w:val="32"/>
          <w:lang w:val="en-US" w:eastAsia="zh-CN"/>
        </w:rPr>
        <w:t>维护公平竞争</w:t>
      </w:r>
      <w:r>
        <w:rPr>
          <w:rFonts w:hint="eastAsia" w:cs="Times New Roman"/>
          <w:color w:val="auto"/>
          <w:w w:val="100"/>
          <w:sz w:val="32"/>
          <w:szCs w:val="32"/>
          <w:lang w:val="en-US" w:eastAsia="zh-CN"/>
        </w:rPr>
        <w:t>的</w:t>
      </w:r>
      <w:r>
        <w:rPr>
          <w:rFonts w:hint="default" w:ascii="Times New Roman" w:hAnsi="Times New Roman" w:eastAsia="仿宋_GB2312" w:cs="Times New Roman"/>
          <w:color w:val="auto"/>
          <w:w w:val="100"/>
          <w:sz w:val="32"/>
          <w:szCs w:val="32"/>
          <w:lang w:val="en-US" w:eastAsia="zh-CN"/>
        </w:rPr>
        <w:t>市场秩序,</w:t>
      </w:r>
      <w:r>
        <w:rPr>
          <w:rFonts w:hint="eastAsia" w:cs="Times New Roman"/>
          <w:sz w:val="32"/>
          <w:szCs w:val="32"/>
          <w:lang w:eastAsia="zh-CN"/>
        </w:rPr>
        <w:t>贯彻落实“疫情要防住、经济要稳住、发展要全”要求，</w:t>
      </w:r>
      <w:r>
        <w:rPr>
          <w:rFonts w:hint="default" w:ascii="Times New Roman" w:hAnsi="Times New Roman" w:eastAsia="仿宋_GB2312" w:cs="Times New Roman"/>
          <w:sz w:val="32"/>
          <w:szCs w:val="32"/>
        </w:rPr>
        <w:t>三门峡市市场监管</w:t>
      </w:r>
      <w:r>
        <w:rPr>
          <w:rFonts w:hint="eastAsia" w:cs="Times New Roman"/>
          <w:sz w:val="32"/>
          <w:szCs w:val="32"/>
          <w:lang w:eastAsia="zh-CN"/>
        </w:rPr>
        <w:t>系统</w:t>
      </w:r>
      <w:r>
        <w:rPr>
          <w:rFonts w:hint="default" w:ascii="Times New Roman" w:hAnsi="Times New Roman" w:eastAsia="仿宋_GB2312" w:cs="Times New Roman"/>
          <w:color w:val="auto"/>
          <w:w w:val="100"/>
          <w:sz w:val="32"/>
          <w:szCs w:val="32"/>
          <w:lang w:val="en-US" w:eastAsia="zh-CN"/>
        </w:rPr>
        <w:t>聚焦</w:t>
      </w:r>
      <w:r>
        <w:rPr>
          <w:rFonts w:hint="eastAsia" w:cs="Times New Roman"/>
          <w:color w:val="auto"/>
          <w:w w:val="100"/>
          <w:sz w:val="32"/>
          <w:szCs w:val="32"/>
          <w:lang w:val="en-US" w:eastAsia="zh-CN"/>
        </w:rPr>
        <w:t>民生领域</w:t>
      </w:r>
      <w:r>
        <w:rPr>
          <w:rFonts w:hint="default" w:ascii="Times New Roman" w:hAnsi="Times New Roman" w:eastAsia="仿宋_GB2312" w:cs="Times New Roman"/>
          <w:color w:val="auto"/>
          <w:w w:val="100"/>
          <w:sz w:val="32"/>
          <w:szCs w:val="32"/>
          <w:lang w:val="en-US" w:eastAsia="zh-CN"/>
        </w:rPr>
        <w:t>群众反映强烈、社会舆论关注和市场监管风险压力大的突出问题，精准重拳出击，强力高效推进，依法查办了一批违法案件</w:t>
      </w:r>
      <w:r>
        <w:rPr>
          <w:rFonts w:hint="eastAsia" w:cs="Times New Roman"/>
          <w:color w:val="auto"/>
          <w:w w:val="100"/>
          <w:sz w:val="32"/>
          <w:szCs w:val="32"/>
          <w:lang w:val="en-US" w:eastAsia="zh-CN"/>
        </w:rPr>
        <w:t>，现将部分典型案件公布如下：</w:t>
      </w:r>
    </w:p>
    <w:p>
      <w:pPr>
        <w:widowControl w:val="0"/>
        <w:numPr>
          <w:ilvl w:val="0"/>
          <w:numId w:val="0"/>
        </w:numPr>
        <w:ind w:firstLine="640" w:firstLineChars="200"/>
        <w:jc w:val="both"/>
        <w:rPr>
          <w:rFonts w:hint="eastAsia" w:ascii="黑体" w:hAnsi="黑体" w:eastAsia="黑体" w:cs="黑体"/>
          <w:color w:val="auto"/>
          <w:w w:val="100"/>
          <w:kern w:val="0"/>
          <w:sz w:val="32"/>
          <w:szCs w:val="32"/>
          <w:lang w:val="en-US" w:eastAsia="zh-CN" w:bidi="ar-SA"/>
        </w:rPr>
      </w:pPr>
      <w:r>
        <w:rPr>
          <w:rFonts w:hint="eastAsia" w:ascii="黑体" w:hAnsi="黑体" w:eastAsia="黑体" w:cs="黑体"/>
          <w:color w:val="auto"/>
          <w:w w:val="100"/>
          <w:kern w:val="0"/>
          <w:sz w:val="32"/>
          <w:szCs w:val="32"/>
          <w:lang w:val="en-US" w:eastAsia="zh-CN" w:bidi="ar-SA"/>
        </w:rPr>
        <w:t>一、</w:t>
      </w:r>
      <w:r>
        <w:rPr>
          <w:rFonts w:hint="default" w:ascii="黑体" w:hAnsi="黑体" w:eastAsia="黑体" w:cs="黑体"/>
          <w:color w:val="auto"/>
          <w:w w:val="100"/>
          <w:kern w:val="0"/>
          <w:sz w:val="32"/>
          <w:szCs w:val="32"/>
          <w:lang w:val="en-US" w:eastAsia="zh-CN" w:bidi="ar-SA"/>
        </w:rPr>
        <w:t>三门峡市市场监管综合行政执法支队</w:t>
      </w:r>
      <w:r>
        <w:rPr>
          <w:rFonts w:hint="eastAsia" w:ascii="黑体" w:hAnsi="黑体" w:eastAsia="黑体" w:cs="黑体"/>
          <w:color w:val="auto"/>
          <w:w w:val="100"/>
          <w:kern w:val="0"/>
          <w:sz w:val="32"/>
          <w:szCs w:val="32"/>
          <w:lang w:val="en-US" w:eastAsia="zh-CN" w:bidi="ar-SA"/>
        </w:rPr>
        <w:t>专业市场大队查处河南某物业服务有限公司在水、电费中加收其他费用案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lang w:val="en-US" w:eastAsia="zh-CN"/>
        </w:rPr>
        <w:t>2022年</w:t>
      </w:r>
      <w:r>
        <w:rPr>
          <w:rFonts w:hint="eastAsia" w:ascii="仿宋_GB2312" w:hAnsi="仿宋_GB2312" w:eastAsia="仿宋_GB2312" w:cs="仿宋_GB2312"/>
          <w:snapToGrid/>
          <w:sz w:val="32"/>
          <w:szCs w:val="32"/>
          <w:u w:val="none"/>
          <w:lang w:val="en-US" w:eastAsia="zh-CN"/>
        </w:rPr>
        <w:t>3</w:t>
      </w:r>
      <w:r>
        <w:rPr>
          <w:rFonts w:hint="eastAsia" w:ascii="仿宋_GB2312" w:hAnsi="仿宋_GB2312" w:eastAsia="仿宋_GB2312" w:cs="仿宋_GB2312"/>
          <w:snapToGrid/>
          <w:sz w:val="32"/>
          <w:szCs w:val="32"/>
          <w:u w:val="none"/>
        </w:rPr>
        <w:t>月</w:t>
      </w:r>
      <w:r>
        <w:rPr>
          <w:rFonts w:hint="eastAsia" w:ascii="仿宋_GB2312" w:hAnsi="仿宋_GB2312" w:eastAsia="仿宋_GB2312" w:cs="仿宋_GB2312"/>
          <w:snapToGrid/>
          <w:sz w:val="32"/>
          <w:szCs w:val="32"/>
          <w:u w:val="none"/>
          <w:lang w:val="en-US" w:eastAsia="zh-CN"/>
        </w:rPr>
        <w:t>1</w:t>
      </w:r>
      <w:r>
        <w:rPr>
          <w:rFonts w:hint="eastAsia" w:ascii="仿宋_GB2312" w:hAnsi="仿宋_GB2312" w:eastAsia="仿宋_GB2312" w:cs="仿宋_GB2312"/>
          <w:snapToGrid/>
          <w:sz w:val="32"/>
          <w:szCs w:val="32"/>
          <w:u w:val="none"/>
        </w:rPr>
        <w:t>日</w:t>
      </w:r>
      <w:r>
        <w:rPr>
          <w:rFonts w:hint="eastAsia" w:ascii="仿宋_GB2312" w:hAnsi="仿宋_GB2312" w:eastAsia="仿宋_GB2312" w:cs="仿宋_GB2312"/>
          <w:snapToGrid/>
          <w:sz w:val="32"/>
          <w:szCs w:val="32"/>
          <w:u w:val="none"/>
          <w:lang w:eastAsia="zh-CN"/>
        </w:rPr>
        <w:t>，</w:t>
      </w:r>
      <w:r>
        <w:rPr>
          <w:rFonts w:hint="default" w:ascii="仿宋_GB2312" w:hAnsi="仿宋_GB2312" w:eastAsia="仿宋_GB2312" w:cs="仿宋_GB2312"/>
          <w:snapToGrid/>
          <w:sz w:val="32"/>
          <w:szCs w:val="32"/>
          <w:lang w:val="en-US" w:eastAsia="zh-CN"/>
        </w:rPr>
        <w:t>三门峡市市场监管综合行政执法支队</w:t>
      </w:r>
      <w:r>
        <w:rPr>
          <w:rFonts w:hint="eastAsia" w:ascii="仿宋_GB2312" w:hAnsi="仿宋_GB2312" w:eastAsia="仿宋_GB2312" w:cs="仿宋_GB2312"/>
          <w:snapToGrid/>
          <w:sz w:val="32"/>
          <w:szCs w:val="32"/>
          <w:lang w:val="en-US" w:eastAsia="zh-CN"/>
        </w:rPr>
        <w:t>专业市场大队收到</w:t>
      </w:r>
      <w:r>
        <w:rPr>
          <w:rFonts w:hint="eastAsia" w:ascii="仿宋_GB2312" w:hAnsi="仿宋_GB2312" w:eastAsia="仿宋_GB2312" w:cs="仿宋_GB2312"/>
          <w:snapToGrid/>
          <w:sz w:val="32"/>
          <w:szCs w:val="32"/>
          <w:u w:val="none"/>
          <w:lang w:val="en-US" w:eastAsia="zh-CN"/>
        </w:rPr>
        <w:t>12315</w:t>
      </w:r>
      <w:r>
        <w:rPr>
          <w:rFonts w:hint="eastAsia" w:ascii="仿宋_GB2312" w:hAnsi="仿宋_GB2312" w:eastAsia="仿宋_GB2312" w:cs="仿宋_GB2312"/>
          <w:snapToGrid/>
          <w:sz w:val="32"/>
          <w:szCs w:val="32"/>
          <w:u w:val="none"/>
        </w:rPr>
        <w:t>转来</w:t>
      </w:r>
      <w:r>
        <w:rPr>
          <w:rFonts w:hint="eastAsia" w:ascii="仿宋_GB2312" w:hAnsi="仿宋_GB2312" w:eastAsia="仿宋_GB2312" w:cs="仿宋_GB2312"/>
          <w:snapToGrid/>
          <w:sz w:val="32"/>
          <w:szCs w:val="32"/>
          <w:u w:val="none"/>
          <w:lang w:val="en-US" w:eastAsia="zh-CN"/>
        </w:rPr>
        <w:t>商户举报，投诉</w:t>
      </w:r>
      <w:r>
        <w:rPr>
          <w:rFonts w:hint="eastAsia" w:ascii="仿宋_GB2312" w:hAnsi="仿宋_GB2312" w:eastAsia="仿宋_GB2312" w:cs="仿宋_GB2312"/>
          <w:snapToGrid/>
          <w:sz w:val="32"/>
          <w:szCs w:val="32"/>
          <w:u w:val="none"/>
        </w:rPr>
        <w:t>反</w:t>
      </w:r>
      <w:r>
        <w:rPr>
          <w:rFonts w:hint="eastAsia" w:ascii="仿宋_GB2312" w:hAnsi="仿宋_GB2312" w:eastAsia="仿宋_GB2312" w:cs="仿宋_GB2312"/>
          <w:snapToGrid/>
          <w:sz w:val="32"/>
          <w:szCs w:val="32"/>
          <w:u w:val="none"/>
          <w:lang w:val="en-US" w:eastAsia="zh-CN"/>
        </w:rPr>
        <w:t>映河南某物业服务有限公司</w:t>
      </w:r>
      <w:r>
        <w:rPr>
          <w:rFonts w:hint="eastAsia" w:ascii="仿宋_GB2312" w:hAnsi="仿宋_GB2312" w:eastAsia="仿宋_GB2312" w:cs="仿宋_GB2312"/>
          <w:snapToGrid/>
          <w:sz w:val="32"/>
          <w:szCs w:val="32"/>
          <w:u w:val="none"/>
        </w:rPr>
        <w:t>存在不合理加价收取</w:t>
      </w:r>
      <w:r>
        <w:rPr>
          <w:rFonts w:hint="eastAsia" w:ascii="仿宋_GB2312" w:hAnsi="仿宋_GB2312" w:eastAsia="仿宋_GB2312" w:cs="仿宋_GB2312"/>
          <w:snapToGrid/>
          <w:sz w:val="32"/>
          <w:szCs w:val="32"/>
          <w:u w:val="none"/>
          <w:lang w:val="en-US" w:eastAsia="zh-CN"/>
        </w:rPr>
        <w:t>电费、水</w:t>
      </w:r>
      <w:r>
        <w:rPr>
          <w:rFonts w:hint="eastAsia" w:ascii="仿宋_GB2312" w:hAnsi="仿宋_GB2312" w:eastAsia="仿宋_GB2312" w:cs="仿宋_GB2312"/>
          <w:snapToGrid/>
          <w:sz w:val="32"/>
          <w:szCs w:val="32"/>
          <w:u w:val="none"/>
        </w:rPr>
        <w:t>费</w:t>
      </w:r>
      <w:r>
        <w:rPr>
          <w:rFonts w:hint="eastAsia" w:ascii="仿宋_GB2312" w:hAnsi="仿宋_GB2312" w:eastAsia="仿宋_GB2312" w:cs="仿宋_GB2312"/>
          <w:snapToGrid/>
          <w:sz w:val="32"/>
          <w:szCs w:val="32"/>
          <w:u w:val="none"/>
          <w:lang w:eastAsia="zh-CN"/>
        </w:rPr>
        <w:t>的行为。</w:t>
      </w:r>
      <w:r>
        <w:rPr>
          <w:rFonts w:hint="eastAsia" w:ascii="仿宋_GB2312" w:hAnsi="仿宋_GB2312" w:eastAsia="仿宋_GB2312" w:cs="仿宋_GB2312"/>
          <w:snapToGrid/>
          <w:sz w:val="32"/>
          <w:szCs w:val="32"/>
          <w:u w:val="none"/>
          <w:lang w:val="en-US" w:eastAsia="zh-CN"/>
        </w:rPr>
        <w:t>2</w:t>
      </w:r>
      <w:r>
        <w:rPr>
          <w:rFonts w:hint="eastAsia" w:ascii="仿宋_GB2312" w:hAnsi="仿宋_GB2312" w:eastAsia="仿宋_GB2312" w:cs="仿宋_GB2312"/>
          <w:bCs/>
          <w:snapToGrid/>
          <w:sz w:val="32"/>
          <w:szCs w:val="32"/>
          <w:u w:val="none"/>
        </w:rPr>
        <w:t>02</w:t>
      </w:r>
      <w:r>
        <w:rPr>
          <w:rFonts w:hint="eastAsia" w:ascii="仿宋_GB2312" w:hAnsi="仿宋_GB2312" w:eastAsia="仿宋_GB2312" w:cs="仿宋_GB2312"/>
          <w:bCs/>
          <w:snapToGrid/>
          <w:sz w:val="32"/>
          <w:szCs w:val="32"/>
          <w:u w:val="none"/>
          <w:lang w:val="en-US" w:eastAsia="zh-CN"/>
        </w:rPr>
        <w:t>2</w:t>
      </w:r>
      <w:r>
        <w:rPr>
          <w:rFonts w:hint="eastAsia" w:ascii="仿宋_GB2312" w:hAnsi="仿宋_GB2312" w:eastAsia="仿宋_GB2312" w:cs="仿宋_GB2312"/>
          <w:bCs/>
          <w:snapToGrid/>
          <w:sz w:val="32"/>
          <w:szCs w:val="32"/>
          <w:u w:val="none"/>
        </w:rPr>
        <w:t>年</w:t>
      </w:r>
      <w:r>
        <w:rPr>
          <w:rFonts w:hint="eastAsia" w:ascii="仿宋_GB2312" w:hAnsi="仿宋_GB2312" w:eastAsia="仿宋_GB2312" w:cs="仿宋_GB2312"/>
          <w:bCs/>
          <w:snapToGrid/>
          <w:sz w:val="32"/>
          <w:szCs w:val="32"/>
          <w:u w:val="none"/>
          <w:lang w:val="en-US" w:eastAsia="zh-CN"/>
        </w:rPr>
        <w:t>4</w:t>
      </w:r>
      <w:r>
        <w:rPr>
          <w:rFonts w:hint="eastAsia" w:ascii="仿宋_GB2312" w:hAnsi="仿宋_GB2312" w:eastAsia="仿宋_GB2312" w:cs="仿宋_GB2312"/>
          <w:bCs/>
          <w:snapToGrid/>
          <w:sz w:val="32"/>
          <w:szCs w:val="32"/>
          <w:u w:val="none"/>
        </w:rPr>
        <w:t>月</w:t>
      </w:r>
      <w:r>
        <w:rPr>
          <w:rFonts w:hint="eastAsia" w:ascii="仿宋_GB2312" w:hAnsi="仿宋_GB2312" w:eastAsia="仿宋_GB2312" w:cs="仿宋_GB2312"/>
          <w:bCs/>
          <w:snapToGrid/>
          <w:sz w:val="32"/>
          <w:szCs w:val="32"/>
          <w:u w:val="none"/>
          <w:lang w:val="en-US" w:eastAsia="zh-CN"/>
        </w:rPr>
        <w:t>18</w:t>
      </w:r>
      <w:r>
        <w:rPr>
          <w:rFonts w:hint="eastAsia" w:ascii="仿宋_GB2312" w:hAnsi="仿宋_GB2312" w:eastAsia="仿宋_GB2312" w:cs="仿宋_GB2312"/>
          <w:bCs/>
          <w:snapToGrid/>
          <w:sz w:val="32"/>
          <w:szCs w:val="32"/>
          <w:u w:val="none"/>
        </w:rPr>
        <w:t>日</w:t>
      </w:r>
      <w:r>
        <w:rPr>
          <w:rFonts w:hint="eastAsia" w:ascii="仿宋_GB2312" w:hAnsi="仿宋_GB2312" w:eastAsia="仿宋_GB2312" w:cs="仿宋_GB2312"/>
          <w:bCs/>
          <w:snapToGrid/>
          <w:sz w:val="32"/>
          <w:szCs w:val="32"/>
          <w:u w:val="none"/>
          <w:lang w:eastAsia="zh-CN"/>
        </w:rPr>
        <w:t>该局</w:t>
      </w:r>
      <w:r>
        <w:rPr>
          <w:rFonts w:hint="eastAsia" w:ascii="仿宋_GB2312" w:hAnsi="仿宋_GB2312" w:eastAsia="仿宋_GB2312" w:cs="仿宋_GB2312"/>
          <w:bCs/>
          <w:snapToGrid/>
          <w:sz w:val="32"/>
          <w:szCs w:val="32"/>
          <w:u w:val="none"/>
        </w:rPr>
        <w:t>立案调查</w:t>
      </w:r>
      <w:r>
        <w:rPr>
          <w:rFonts w:hint="eastAsia" w:ascii="仿宋_GB2312" w:hAnsi="仿宋_GB2312" w:eastAsia="仿宋_GB2312" w:cs="仿宋_GB2312"/>
          <w:bCs/>
          <w:snapToGrid/>
          <w:sz w:val="32"/>
          <w:szCs w:val="32"/>
          <w:u w:val="none"/>
          <w:lang w:eastAsia="zh-CN"/>
        </w:rPr>
        <w:t>，</w:t>
      </w:r>
      <w:r>
        <w:rPr>
          <w:rFonts w:hint="eastAsia" w:ascii="仿宋_GB2312" w:hAnsi="仿宋_GB2312" w:eastAsia="仿宋_GB2312" w:cs="仿宋_GB2312"/>
          <w:snapToGrid/>
          <w:sz w:val="32"/>
          <w:szCs w:val="32"/>
          <w:u w:val="none"/>
          <w:lang w:val="en-US" w:eastAsia="zh-CN"/>
        </w:rPr>
        <w:t>并委托会计师事务所</w:t>
      </w:r>
      <w:r>
        <w:rPr>
          <w:rFonts w:hint="eastAsia" w:ascii="仿宋_GB2312" w:hAnsi="仿宋_GB2312" w:eastAsia="仿宋_GB2312" w:cs="仿宋_GB2312"/>
          <w:snapToGrid/>
          <w:sz w:val="32"/>
          <w:szCs w:val="32"/>
          <w:lang w:val="en-US" w:eastAsia="zh-CN"/>
        </w:rPr>
        <w:t>对</w:t>
      </w:r>
      <w:r>
        <w:rPr>
          <w:rFonts w:hint="eastAsia" w:ascii="仿宋_GB2312" w:hAnsi="仿宋_GB2312" w:eastAsia="仿宋_GB2312" w:cs="仿宋_GB2312"/>
          <w:snapToGrid/>
          <w:sz w:val="32"/>
          <w:szCs w:val="32"/>
        </w:rPr>
        <w:t>当事人20</w:t>
      </w:r>
      <w:r>
        <w:rPr>
          <w:rFonts w:hint="eastAsia" w:ascii="仿宋_GB2312" w:hAnsi="仿宋_GB2312" w:eastAsia="仿宋_GB2312" w:cs="仿宋_GB2312"/>
          <w:snapToGrid/>
          <w:sz w:val="32"/>
          <w:szCs w:val="32"/>
          <w:lang w:val="en-US" w:eastAsia="zh-CN"/>
        </w:rPr>
        <w:t>21</w:t>
      </w:r>
      <w:r>
        <w:rPr>
          <w:rFonts w:hint="eastAsia" w:ascii="仿宋_GB2312" w:hAnsi="仿宋_GB2312" w:eastAsia="仿宋_GB2312" w:cs="仿宋_GB2312"/>
          <w:snapToGrid/>
          <w:sz w:val="32"/>
          <w:szCs w:val="32"/>
        </w:rPr>
        <w:t>年</w:t>
      </w:r>
      <w:r>
        <w:rPr>
          <w:rFonts w:hint="eastAsia" w:ascii="仿宋_GB2312" w:hAnsi="仿宋_GB2312" w:eastAsia="仿宋_GB2312" w:cs="仿宋_GB2312"/>
          <w:snapToGrid/>
          <w:sz w:val="32"/>
          <w:szCs w:val="32"/>
          <w:lang w:val="en-US" w:eastAsia="zh-CN"/>
        </w:rPr>
        <w:t>1</w:t>
      </w:r>
      <w:r>
        <w:rPr>
          <w:rFonts w:hint="eastAsia" w:ascii="仿宋_GB2312" w:hAnsi="仿宋_GB2312" w:eastAsia="仿宋_GB2312" w:cs="仿宋_GB2312"/>
          <w:snapToGrid/>
          <w:sz w:val="32"/>
          <w:szCs w:val="32"/>
        </w:rPr>
        <w:t>月至202</w:t>
      </w:r>
      <w:r>
        <w:rPr>
          <w:rFonts w:hint="eastAsia" w:ascii="仿宋_GB2312" w:hAnsi="仿宋_GB2312" w:eastAsia="仿宋_GB2312" w:cs="仿宋_GB2312"/>
          <w:snapToGrid/>
          <w:sz w:val="32"/>
          <w:szCs w:val="32"/>
          <w:lang w:val="en-US" w:eastAsia="zh-CN"/>
        </w:rPr>
        <w:t>2</w:t>
      </w:r>
      <w:r>
        <w:rPr>
          <w:rFonts w:hint="eastAsia" w:ascii="仿宋_GB2312" w:hAnsi="仿宋_GB2312" w:eastAsia="仿宋_GB2312" w:cs="仿宋_GB2312"/>
          <w:snapToGrid/>
          <w:sz w:val="32"/>
          <w:szCs w:val="32"/>
        </w:rPr>
        <w:t>年2月</w:t>
      </w:r>
      <w:r>
        <w:rPr>
          <w:rFonts w:hint="eastAsia" w:ascii="仿宋_GB2312" w:hAnsi="仿宋_GB2312" w:eastAsia="仿宋_GB2312" w:cs="仿宋_GB2312"/>
          <w:snapToGrid/>
          <w:sz w:val="32"/>
          <w:szCs w:val="32"/>
          <w:lang w:val="en-US" w:eastAsia="zh-CN"/>
        </w:rPr>
        <w:t>的收费进行了审计，专项审计报告</w:t>
      </w:r>
      <w:r>
        <w:rPr>
          <w:rFonts w:hint="eastAsia" w:ascii="仿宋_GB2312" w:hAnsi="仿宋_GB2312" w:eastAsia="仿宋_GB2312" w:cs="仿宋_GB2312"/>
          <w:snapToGrid/>
          <w:sz w:val="32"/>
          <w:szCs w:val="32"/>
          <w:u w:val="none"/>
          <w:lang w:val="en-US" w:eastAsia="zh-CN"/>
        </w:rPr>
        <w:t>确认扣除损耗后多收</w:t>
      </w:r>
      <w:r>
        <w:rPr>
          <w:rFonts w:hint="eastAsia" w:ascii="仿宋_GB2312" w:hAnsi="仿宋_GB2312" w:eastAsia="仿宋_GB2312" w:cs="仿宋_GB2312"/>
          <w:snapToGrid/>
          <w:sz w:val="32"/>
          <w:szCs w:val="32"/>
        </w:rPr>
        <w:t>电费</w:t>
      </w:r>
      <w:r>
        <w:rPr>
          <w:rFonts w:hint="eastAsia" w:ascii="仿宋_GB2312" w:hAnsi="仿宋_GB2312" w:eastAsia="仿宋_GB2312" w:cs="仿宋_GB2312"/>
          <w:snapToGrid/>
          <w:sz w:val="32"/>
          <w:szCs w:val="32"/>
          <w:u w:val="none"/>
          <w:lang w:val="en-US" w:eastAsia="zh-CN"/>
        </w:rPr>
        <w:t>价款金额为150837.60元；</w:t>
      </w:r>
      <w:r>
        <w:rPr>
          <w:rFonts w:hint="eastAsia" w:ascii="仿宋_GB2312" w:hAnsi="仿宋_GB2312" w:eastAsia="仿宋_GB2312" w:cs="仿宋_GB2312"/>
          <w:snapToGrid/>
          <w:sz w:val="32"/>
          <w:szCs w:val="32"/>
        </w:rPr>
        <w:t>多收取用户</w:t>
      </w:r>
      <w:r>
        <w:rPr>
          <w:rFonts w:hint="eastAsia" w:ascii="仿宋_GB2312" w:hAnsi="仿宋_GB2312" w:eastAsia="仿宋_GB2312" w:cs="仿宋_GB2312"/>
          <w:snapToGrid/>
          <w:sz w:val="32"/>
          <w:szCs w:val="32"/>
          <w:lang w:val="en-US" w:eastAsia="zh-CN"/>
        </w:rPr>
        <w:t>水费</w:t>
      </w:r>
      <w:r>
        <w:rPr>
          <w:rFonts w:hint="eastAsia" w:ascii="仿宋_GB2312" w:hAnsi="仿宋_GB2312" w:eastAsia="仿宋_GB2312" w:cs="仿宋_GB2312"/>
          <w:snapToGrid/>
          <w:sz w:val="32"/>
          <w:szCs w:val="32"/>
          <w:u w:val="none"/>
          <w:lang w:val="en-US" w:eastAsia="zh-CN"/>
        </w:rPr>
        <w:t>价款金额为</w:t>
      </w:r>
      <w:r>
        <w:rPr>
          <w:rFonts w:hint="eastAsia" w:ascii="仿宋_GB2312" w:hAnsi="仿宋_GB2312" w:eastAsia="仿宋_GB2312" w:cs="仿宋_GB2312"/>
          <w:snapToGrid/>
          <w:sz w:val="32"/>
          <w:szCs w:val="32"/>
          <w:lang w:val="en-US" w:eastAsia="zh-CN"/>
        </w:rPr>
        <w:t>34770.19元。</w:t>
      </w:r>
      <w:r>
        <w:rPr>
          <w:rFonts w:hint="eastAsia" w:ascii="仿宋_GB2312" w:hAnsi="仿宋_GB2312" w:eastAsia="仿宋_GB2312" w:cs="仿宋_GB2312"/>
          <w:snapToGrid/>
          <w:sz w:val="32"/>
          <w:szCs w:val="32"/>
          <w:u w:val="none"/>
        </w:rPr>
        <w:t>上</w:t>
      </w:r>
      <w:r>
        <w:rPr>
          <w:rFonts w:hint="eastAsia" w:ascii="仿宋_GB2312" w:hAnsi="仿宋_GB2312" w:eastAsia="仿宋_GB2312" w:cs="仿宋_GB2312"/>
          <w:snapToGrid/>
          <w:sz w:val="32"/>
          <w:szCs w:val="32"/>
          <w:u w:val="none"/>
          <w:lang w:eastAsia="zh-CN"/>
        </w:rPr>
        <w:t>述</w:t>
      </w:r>
      <w:r>
        <w:rPr>
          <w:rFonts w:hint="eastAsia" w:ascii="仿宋_GB2312" w:hAnsi="仿宋_GB2312" w:eastAsia="仿宋_GB2312" w:cs="仿宋_GB2312"/>
          <w:snapToGrid/>
          <w:sz w:val="32"/>
          <w:szCs w:val="32"/>
          <w:u w:val="none"/>
        </w:rPr>
        <w:t>行为违反了《中华人民共和国电力法》第四十四条</w:t>
      </w:r>
      <w:r>
        <w:rPr>
          <w:rFonts w:hint="eastAsia" w:ascii="仿宋_GB2312" w:hAnsi="仿宋_GB2312" w:eastAsia="仿宋_GB2312" w:cs="仿宋_GB2312"/>
          <w:snapToGrid/>
          <w:sz w:val="32"/>
          <w:szCs w:val="32"/>
          <w:u w:val="none"/>
          <w:lang w:eastAsia="zh-CN"/>
        </w:rPr>
        <w:t>和</w:t>
      </w:r>
      <w:r>
        <w:rPr>
          <w:rFonts w:hint="eastAsia" w:ascii="仿宋_GB2312" w:hAnsi="仿宋_GB2312" w:eastAsia="仿宋_GB2312" w:cs="仿宋_GB2312"/>
          <w:snapToGrid/>
          <w:sz w:val="32"/>
          <w:szCs w:val="32"/>
          <w:u w:val="none"/>
        </w:rPr>
        <w:t>《中华人民共和国</w:t>
      </w:r>
      <w:r>
        <w:rPr>
          <w:rFonts w:hint="eastAsia" w:ascii="仿宋_GB2312" w:hAnsi="仿宋_GB2312" w:eastAsia="仿宋_GB2312" w:cs="仿宋_GB2312"/>
          <w:snapToGrid/>
          <w:sz w:val="32"/>
          <w:szCs w:val="32"/>
          <w:u w:val="none"/>
          <w:lang w:val="en-US" w:eastAsia="zh-CN"/>
        </w:rPr>
        <w:t>价格</w:t>
      </w:r>
      <w:r>
        <w:rPr>
          <w:rFonts w:hint="eastAsia" w:ascii="仿宋_GB2312" w:hAnsi="仿宋_GB2312" w:eastAsia="仿宋_GB2312" w:cs="仿宋_GB2312"/>
          <w:snapToGrid/>
          <w:sz w:val="32"/>
          <w:szCs w:val="32"/>
          <w:u w:val="none"/>
        </w:rPr>
        <w:t>法》</w:t>
      </w:r>
      <w:r>
        <w:rPr>
          <w:rFonts w:hint="eastAsia" w:ascii="仿宋_GB2312" w:hAnsi="仿宋_GB2312" w:eastAsia="仿宋_GB2312" w:cs="仿宋_GB2312"/>
          <w:snapToGrid/>
          <w:sz w:val="32"/>
          <w:szCs w:val="32"/>
          <w:u w:val="none"/>
          <w:lang w:val="en-US" w:eastAsia="zh-CN"/>
        </w:rPr>
        <w:t>第十二条之规定，</w:t>
      </w:r>
      <w:r>
        <w:rPr>
          <w:rFonts w:hint="eastAsia" w:ascii="仿宋_GB2312" w:hAnsi="仿宋_GB2312" w:eastAsia="仿宋_GB2312" w:cs="仿宋_GB2312"/>
          <w:snapToGrid/>
          <w:sz w:val="32"/>
          <w:szCs w:val="32"/>
          <w:lang w:val="en-US" w:eastAsia="zh-CN"/>
        </w:rPr>
        <w:t>专业市场大队依法对当事人做出行政处罚。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sz w:val="32"/>
          <w:szCs w:val="32"/>
          <w:lang w:val="en-US" w:eastAsia="zh-CN"/>
        </w:rPr>
      </w:pPr>
      <w:r>
        <w:rPr>
          <w:rFonts w:hint="eastAsia" w:ascii="仿宋_GB2312" w:hAnsi="仿宋_GB2312" w:eastAsia="仿宋_GB2312" w:cs="仿宋_GB2312"/>
          <w:snapToGrid/>
          <w:sz w:val="32"/>
          <w:szCs w:val="32"/>
        </w:rPr>
        <w:t>供水供电等公用事业是市场经济运行的重要保障，关系营商环境的优劣和市场主体的发展，供水供电环节收费问题点多面广、情况复杂</w:t>
      </w:r>
      <w:r>
        <w:rPr>
          <w:rFonts w:hint="eastAsia" w:ascii="仿宋_GB2312" w:hAnsi="仿宋_GB2312" w:eastAsia="仿宋_GB2312" w:cs="仿宋_GB2312"/>
          <w:snapToGrid/>
          <w:sz w:val="32"/>
          <w:szCs w:val="32"/>
          <w:lang w:eastAsia="zh-CN"/>
        </w:rPr>
        <w:t>，</w:t>
      </w:r>
      <w:r>
        <w:rPr>
          <w:rFonts w:hint="eastAsia" w:ascii="仿宋_GB2312" w:hAnsi="仿宋_GB2312" w:eastAsia="仿宋_GB2312" w:cs="仿宋_GB2312"/>
          <w:snapToGrid/>
          <w:sz w:val="32"/>
          <w:szCs w:val="32"/>
          <w:lang w:val="en-US" w:eastAsia="zh-CN"/>
        </w:rPr>
        <w:t>市场监管局将持续规范转供电主体收费行为，督促其严格执行国家相关政策，推动政策落实到实处，降低企业生产成本，持续激发市场主体活力，促进实体经济健康有序发展。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napToGrid w:val="0"/>
          <w:color w:val="000000" w:themeColor="text1"/>
          <w:kern w:val="2"/>
          <w:sz w:val="32"/>
          <w:szCs w:val="32"/>
          <w:lang w:val="en-US" w:eastAsia="zh-CN" w:bidi="ar-SA"/>
          <w14:textFill>
            <w14:solidFill>
              <w14:schemeClr w14:val="tx1"/>
            </w14:solidFill>
          </w14:textFill>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right="102" w:rightChars="32"/>
        <w:jc w:val="left"/>
        <w:textAlignment w:val="auto"/>
        <w:rPr>
          <w:rFonts w:hint="eastAsia" w:ascii="黑体" w:hAnsi="黑体" w:eastAsia="黑体" w:cs="黑体"/>
          <w:b/>
          <w:bCs/>
          <w:sz w:val="32"/>
          <w:szCs w:val="32"/>
        </w:rPr>
      </w:pPr>
      <w:r>
        <w:rPr>
          <w:rFonts w:hint="eastAsia"/>
          <w:lang w:val="en-US" w:eastAsia="zh-CN"/>
        </w:rPr>
        <w:t xml:space="preserve">    二</w:t>
      </w:r>
      <w:r>
        <w:rPr>
          <w:rFonts w:hint="eastAsia" w:ascii="黑体" w:hAnsi="黑体" w:eastAsia="黑体" w:cs="黑体"/>
          <w:color w:val="auto"/>
          <w:sz w:val="32"/>
          <w:szCs w:val="32"/>
          <w:lang w:val="en-US" w:eastAsia="zh-CN"/>
        </w:rPr>
        <w:t>、</w:t>
      </w:r>
      <w:r>
        <w:rPr>
          <w:rFonts w:hint="eastAsia" w:ascii="黑体" w:hAnsi="黑体" w:eastAsia="黑体" w:cs="黑体"/>
          <w:color w:val="auto"/>
          <w:sz w:val="32"/>
          <w:szCs w:val="32"/>
        </w:rPr>
        <w:t>三门峡市市场监管综合行政执法支队</w:t>
      </w:r>
      <w:r>
        <w:rPr>
          <w:rFonts w:hint="eastAsia" w:ascii="黑体" w:hAnsi="黑体" w:eastAsia="黑体" w:cs="黑体"/>
          <w:color w:val="auto"/>
          <w:sz w:val="32"/>
          <w:szCs w:val="32"/>
          <w:lang w:eastAsia="zh-CN"/>
        </w:rPr>
        <w:t>陕州大队查处</w:t>
      </w:r>
      <w:r>
        <w:rPr>
          <w:rFonts w:hint="eastAsia" w:ascii="黑体" w:hAnsi="黑体" w:eastAsia="黑体" w:cs="黑体"/>
          <w:b w:val="0"/>
          <w:bCs w:val="0"/>
          <w:sz w:val="32"/>
          <w:szCs w:val="32"/>
        </w:rPr>
        <w:t>三门峡市陕州区</w:t>
      </w:r>
      <w:r>
        <w:rPr>
          <w:rFonts w:hint="eastAsia" w:ascii="黑体" w:hAnsi="黑体" w:eastAsia="黑体" w:cs="黑体"/>
          <w:b w:val="0"/>
          <w:bCs w:val="0"/>
          <w:sz w:val="32"/>
          <w:szCs w:val="32"/>
          <w:lang w:eastAsia="zh-CN"/>
        </w:rPr>
        <w:t>某</w:t>
      </w:r>
      <w:r>
        <w:rPr>
          <w:rFonts w:hint="eastAsia" w:ascii="黑体" w:hAnsi="黑体" w:eastAsia="黑体" w:cs="黑体"/>
          <w:b w:val="0"/>
          <w:bCs w:val="0"/>
          <w:sz w:val="32"/>
          <w:szCs w:val="32"/>
        </w:rPr>
        <w:t>幼儿园未取得食品经营许可证从事餐饮服务经营活动案</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2022年3月15日，三门峡市市场监管综合行政执法支队陕州大队执法人员在对三门峡市陕州区</w:t>
      </w:r>
      <w:r>
        <w:rPr>
          <w:rFonts w:hint="eastAsia" w:ascii="仿宋_GB2312" w:hAnsi="仿宋_GB2312" w:cs="仿宋_GB2312"/>
          <w:sz w:val="32"/>
          <w:szCs w:val="32"/>
          <w:lang w:val="en-US" w:eastAsia="zh-CN"/>
        </w:rPr>
        <w:t>某</w:t>
      </w:r>
      <w:r>
        <w:rPr>
          <w:rFonts w:hint="eastAsia" w:ascii="仿宋_GB2312" w:hAnsi="仿宋_GB2312" w:eastAsia="仿宋_GB2312" w:cs="仿宋_GB2312"/>
          <w:sz w:val="32"/>
          <w:szCs w:val="32"/>
          <w:lang w:val="en-US" w:eastAsia="zh-CN"/>
        </w:rPr>
        <w:t>幼儿园进行专项检查中，发现该单位食堂有从业人员3人正从事餐饮服务活动，但现场不能提供《食品经营许可证》。经查，当事人未取得《食品经营许可证》期间</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提供餐饮服务，共收取餐费8436元。当事人的上述行为违反了《中华人民共和国食品安全法》第三十五条第一款之规定，陕州大队依法对当事人做出行政处罚。</w:t>
      </w:r>
    </w:p>
    <w:p>
      <w:pPr>
        <w:spacing w:line="360" w:lineRule="auto"/>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现如今大量的城乡公办、民办幼儿园如春笋般发展，但幼儿园校园食品安全仍存在一定的安全隐患，幼儿园作为餐饮服务的主体，更要注重食品安全，否则将产生难以估量的严重后果。市场监管部门将以此案件为契机，继续加强对教育领域食品安全监管工作，积极同各部门协作，形成合力，努力维护少年儿童身心健康发展。</w:t>
      </w:r>
    </w:p>
    <w:p>
      <w:pPr>
        <w:pStyle w:val="2"/>
        <w:keepNext w:val="0"/>
        <w:keepLines w:val="0"/>
        <w:pageBreakBefore w:val="0"/>
        <w:widowControl w:val="0"/>
        <w:numPr>
          <w:ilvl w:val="0"/>
          <w:numId w:val="0"/>
        </w:numPr>
        <w:tabs>
          <w:tab w:val="left" w:pos="8285"/>
        </w:tabs>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黑体" w:hAnsi="黑体" w:eastAsia="黑体" w:cs="黑体"/>
          <w:snapToGrid w:val="0"/>
          <w:color w:val="auto"/>
          <w:w w:val="100"/>
          <w:kern w:val="0"/>
          <w:sz w:val="32"/>
          <w:szCs w:val="32"/>
          <w:lang w:val="en-US" w:eastAsia="zh-CN" w:bidi="ar-SA"/>
        </w:rPr>
      </w:pPr>
      <w:r>
        <w:rPr>
          <w:rFonts w:hint="eastAsia" w:ascii="黑体" w:hAnsi="黑体" w:eastAsia="黑体" w:cs="黑体"/>
          <w:snapToGrid w:val="0"/>
          <w:color w:val="auto"/>
          <w:w w:val="100"/>
          <w:kern w:val="0"/>
          <w:sz w:val="32"/>
          <w:szCs w:val="32"/>
          <w:lang w:val="en-US" w:eastAsia="zh-CN" w:bidi="ar-SA"/>
        </w:rPr>
        <w:t>三、三门峡渑池县市场监管局查处李某涉嫌未取得食品生产许可灌装白酒案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Cs/>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sz w:val="32"/>
          <w:szCs w:val="32"/>
          <w:u w:val="none"/>
          <w:lang w:val="en-US" w:eastAsia="zh-CN"/>
        </w:rPr>
        <w:t>022年9月22日，</w:t>
      </w:r>
      <w:r>
        <w:rPr>
          <w:rFonts w:hint="eastAsia" w:ascii="仿宋_GB2312" w:hAnsi="仿宋_GB2312" w:eastAsia="仿宋_GB2312" w:cs="仿宋_GB2312"/>
          <w:bCs/>
          <w:snapToGrid w:val="0"/>
          <w:color w:val="000000" w:themeColor="text1"/>
          <w:kern w:val="2"/>
          <w:sz w:val="32"/>
          <w:szCs w:val="32"/>
          <w:lang w:val="en-US" w:eastAsia="zh-CN" w:bidi="ar-SA"/>
          <w14:textFill>
            <w14:solidFill>
              <w14:schemeClr w14:val="tx1"/>
            </w14:solidFill>
          </w14:textFill>
        </w:rPr>
        <w:t>三门峡渑池县市场监管局</w:t>
      </w:r>
      <w:r>
        <w:rPr>
          <w:rFonts w:hint="eastAsia" w:ascii="仿宋_GB2312" w:hAnsi="仿宋_GB2312" w:cs="仿宋_GB2312"/>
          <w:sz w:val="32"/>
          <w:szCs w:val="32"/>
          <w:u w:val="none"/>
          <w:lang w:val="en-US" w:eastAsia="zh-CN"/>
        </w:rPr>
        <w:t>在执法检查中发现辖区一</w:t>
      </w:r>
      <w:r>
        <w:rPr>
          <w:rFonts w:hint="eastAsia" w:ascii="仿宋_GB2312" w:hAnsi="仿宋_GB2312" w:eastAsia="仿宋_GB2312" w:cs="仿宋_GB2312"/>
          <w:sz w:val="32"/>
          <w:szCs w:val="32"/>
          <w:u w:val="none"/>
          <w:lang w:val="en-US" w:eastAsia="zh-CN"/>
        </w:rPr>
        <w:t>仓库内有印制为河南东方国陶酒业有限公司字样的白酒产品、原酒、空酒瓶、及大量的生产白酒所需相关产品，无法提供白酒生产许可证。经查，该仓库租赁人李</w:t>
      </w:r>
      <w:r>
        <w:rPr>
          <w:rFonts w:hint="eastAsia" w:ascii="仿宋_GB2312" w:hAnsi="仿宋_GB2312" w:cs="仿宋_GB2312"/>
          <w:sz w:val="32"/>
          <w:szCs w:val="32"/>
          <w:u w:val="none"/>
          <w:lang w:val="en-US" w:eastAsia="zh-CN"/>
        </w:rPr>
        <w:t>某</w:t>
      </w:r>
      <w:r>
        <w:rPr>
          <w:rFonts w:hint="eastAsia" w:ascii="仿宋_GB2312" w:hAnsi="仿宋_GB2312" w:eastAsia="仿宋_GB2312" w:cs="仿宋_GB2312"/>
          <w:snapToGrid/>
          <w:sz w:val="32"/>
          <w:szCs w:val="32"/>
          <w:u w:val="none"/>
          <w:lang w:val="en-US" w:eastAsia="zh-CN"/>
        </w:rPr>
        <w:t>通过电话联系，购买了用于灌装的散装白酒1.5吨，货值金额3</w:t>
      </w:r>
      <w:r>
        <w:rPr>
          <w:rFonts w:hint="eastAsia" w:ascii="仿宋_GB2312" w:hAnsi="仿宋_GB2312" w:cs="仿宋_GB2312"/>
          <w:snapToGrid/>
          <w:sz w:val="32"/>
          <w:szCs w:val="32"/>
          <w:u w:val="none"/>
          <w:lang w:val="en-US" w:eastAsia="zh-CN"/>
        </w:rPr>
        <w:t>万</w:t>
      </w:r>
      <w:r>
        <w:rPr>
          <w:rFonts w:hint="eastAsia" w:ascii="仿宋_GB2312" w:hAnsi="仿宋_GB2312" w:eastAsia="仿宋_GB2312" w:cs="仿宋_GB2312"/>
          <w:snapToGrid/>
          <w:sz w:val="32"/>
          <w:szCs w:val="32"/>
          <w:u w:val="none"/>
          <w:lang w:val="en-US" w:eastAsia="zh-CN"/>
        </w:rPr>
        <w:t>元</w:t>
      </w:r>
      <w:r>
        <w:rPr>
          <w:rFonts w:hint="eastAsia" w:ascii="仿宋_GB2312" w:hAnsi="仿宋_GB2312" w:cs="仿宋_GB2312"/>
          <w:snapToGrid/>
          <w:sz w:val="32"/>
          <w:szCs w:val="32"/>
          <w:u w:val="none"/>
          <w:lang w:val="en-US" w:eastAsia="zh-CN"/>
        </w:rPr>
        <w:t>。</w:t>
      </w:r>
      <w:r>
        <w:rPr>
          <w:rFonts w:hint="eastAsia" w:ascii="仿宋_GB2312" w:hAnsi="仿宋_GB2312" w:eastAsia="仿宋_GB2312" w:cs="仿宋_GB2312"/>
          <w:snapToGrid/>
          <w:sz w:val="32"/>
          <w:szCs w:val="32"/>
          <w:u w:val="none"/>
          <w:lang w:val="en-US" w:eastAsia="zh-CN"/>
        </w:rPr>
        <w:t>仓库罐装成品白酒货值金额1</w:t>
      </w:r>
      <w:r>
        <w:rPr>
          <w:rFonts w:hint="eastAsia" w:ascii="仿宋_GB2312" w:hAnsi="仿宋_GB2312" w:cs="仿宋_GB2312"/>
          <w:snapToGrid/>
          <w:sz w:val="32"/>
          <w:szCs w:val="32"/>
          <w:u w:val="none"/>
          <w:lang w:val="en-US" w:eastAsia="zh-CN"/>
        </w:rPr>
        <w:t>.</w:t>
      </w:r>
      <w:r>
        <w:rPr>
          <w:rFonts w:hint="eastAsia" w:ascii="仿宋_GB2312" w:hAnsi="仿宋_GB2312" w:eastAsia="仿宋_GB2312" w:cs="仿宋_GB2312"/>
          <w:snapToGrid/>
          <w:sz w:val="32"/>
          <w:szCs w:val="32"/>
          <w:u w:val="none"/>
          <w:lang w:val="en-US" w:eastAsia="zh-CN"/>
        </w:rPr>
        <w:t>022</w:t>
      </w:r>
      <w:r>
        <w:rPr>
          <w:rFonts w:hint="eastAsia" w:ascii="仿宋_GB2312" w:hAnsi="仿宋_GB2312" w:cs="仿宋_GB2312"/>
          <w:snapToGrid/>
          <w:sz w:val="32"/>
          <w:szCs w:val="32"/>
          <w:u w:val="none"/>
          <w:lang w:val="en-US" w:eastAsia="zh-CN"/>
        </w:rPr>
        <w:t>万</w:t>
      </w:r>
      <w:r>
        <w:rPr>
          <w:rFonts w:hint="eastAsia" w:ascii="仿宋_GB2312" w:hAnsi="仿宋_GB2312" w:eastAsia="仿宋_GB2312" w:cs="仿宋_GB2312"/>
          <w:snapToGrid/>
          <w:sz w:val="32"/>
          <w:szCs w:val="32"/>
          <w:u w:val="none"/>
          <w:lang w:val="en-US" w:eastAsia="zh-CN"/>
        </w:rPr>
        <w:t>元，合并总货值共4</w:t>
      </w:r>
      <w:r>
        <w:rPr>
          <w:rFonts w:hint="eastAsia" w:ascii="仿宋_GB2312" w:hAnsi="仿宋_GB2312" w:cs="仿宋_GB2312"/>
          <w:snapToGrid/>
          <w:sz w:val="32"/>
          <w:szCs w:val="32"/>
          <w:u w:val="none"/>
          <w:lang w:val="en-US" w:eastAsia="zh-CN"/>
        </w:rPr>
        <w:t>.</w:t>
      </w:r>
      <w:r>
        <w:rPr>
          <w:rFonts w:hint="eastAsia" w:ascii="仿宋_GB2312" w:hAnsi="仿宋_GB2312" w:eastAsia="仿宋_GB2312" w:cs="仿宋_GB2312"/>
          <w:snapToGrid/>
          <w:sz w:val="32"/>
          <w:szCs w:val="32"/>
          <w:u w:val="none"/>
          <w:lang w:val="en-US" w:eastAsia="zh-CN"/>
        </w:rPr>
        <w:t>022</w:t>
      </w:r>
      <w:r>
        <w:rPr>
          <w:rFonts w:hint="eastAsia" w:ascii="仿宋_GB2312" w:hAnsi="仿宋_GB2312" w:cs="仿宋_GB2312"/>
          <w:snapToGrid/>
          <w:sz w:val="32"/>
          <w:szCs w:val="32"/>
          <w:u w:val="none"/>
          <w:lang w:val="en-US" w:eastAsia="zh-CN"/>
        </w:rPr>
        <w:t>万</w:t>
      </w:r>
      <w:r>
        <w:rPr>
          <w:rFonts w:hint="eastAsia" w:ascii="仿宋_GB2312" w:hAnsi="仿宋_GB2312" w:eastAsia="仿宋_GB2312" w:cs="仿宋_GB2312"/>
          <w:snapToGrid/>
          <w:sz w:val="32"/>
          <w:szCs w:val="32"/>
          <w:u w:val="none"/>
          <w:lang w:val="en-US" w:eastAsia="zh-CN"/>
        </w:rPr>
        <w:t>元。</w:t>
      </w:r>
      <w:r>
        <w:rPr>
          <w:rFonts w:hint="eastAsia" w:ascii="仿宋_GB2312" w:hAnsi="仿宋_GB2312" w:eastAsia="仿宋_GB2312" w:cs="仿宋_GB2312"/>
          <w:bCs/>
          <w:snapToGrid w:val="0"/>
          <w:color w:val="000000" w:themeColor="text1"/>
          <w:kern w:val="2"/>
          <w:sz w:val="32"/>
          <w:szCs w:val="32"/>
          <w:lang w:val="en-US" w:eastAsia="zh-CN" w:bidi="ar-SA"/>
          <w14:textFill>
            <w14:solidFill>
              <w14:schemeClr w14:val="tx1"/>
            </w14:solidFill>
          </w14:textFill>
        </w:rPr>
        <w:t>当事人的行为违反了</w:t>
      </w:r>
      <w:r>
        <w:rPr>
          <w:rFonts w:hint="eastAsia" w:ascii="仿宋_GB2312" w:hAnsi="仿宋_GB2312" w:eastAsia="仿宋_GB2312" w:cs="仿宋_GB2312"/>
          <w:kern w:val="2"/>
          <w:sz w:val="32"/>
          <w:szCs w:val="32"/>
          <w:u w:val="none"/>
          <w:lang w:val="en-US" w:eastAsia="zh-CN" w:bidi="ar-SA"/>
        </w:rPr>
        <w:t>违反了《中华人民共和国食品安全法》第三十五条第一款之规定</w:t>
      </w:r>
      <w:r>
        <w:rPr>
          <w:rFonts w:hint="eastAsia" w:ascii="仿宋_GB2312" w:hAnsi="仿宋_GB2312" w:eastAsia="仿宋_GB2312" w:cs="仿宋_GB2312"/>
          <w:bCs/>
          <w:snapToGrid w:val="0"/>
          <w:color w:val="000000" w:themeColor="text1"/>
          <w:kern w:val="2"/>
          <w:sz w:val="32"/>
          <w:szCs w:val="32"/>
          <w:lang w:val="en-US" w:eastAsia="zh-CN" w:bidi="ar-SA"/>
          <w14:textFill>
            <w14:solidFill>
              <w14:schemeClr w14:val="tx1"/>
            </w14:solidFill>
          </w14:textFill>
        </w:rPr>
        <w:t>，渑池县市场监管局依法对当事人做出行政处罚。</w:t>
      </w:r>
    </w:p>
    <w:p>
      <w:pPr>
        <w:rPr>
          <w:rFonts w:hint="default" w:ascii="仿宋_GB2312" w:hAnsi="仿宋_GB2312" w:eastAsia="仿宋_GB2312" w:cs="仿宋_GB2312"/>
          <w:snapToGrid/>
          <w:sz w:val="32"/>
          <w:szCs w:val="32"/>
          <w:u w:val="none"/>
          <w:lang w:val="en-US" w:eastAsia="zh-CN"/>
        </w:rPr>
      </w:pPr>
      <w:r>
        <w:rPr>
          <w:rFonts w:hint="eastAsia" w:ascii="Times New Roman" w:eastAsia="仿宋_GB2312"/>
          <w:lang w:val="en-US" w:eastAsia="zh-CN"/>
        </w:rPr>
        <w:t xml:space="preserve">   </w:t>
      </w:r>
      <w:r>
        <w:rPr>
          <w:rFonts w:hint="eastAsia" w:ascii="仿宋_GB2312" w:hAnsi="仿宋_GB2312" w:eastAsia="仿宋_GB2312" w:cs="仿宋_GB2312"/>
          <w:kern w:val="2"/>
          <w:sz w:val="32"/>
          <w:szCs w:val="32"/>
          <w:u w:val="none"/>
          <w:lang w:val="en-US" w:eastAsia="zh-CN" w:bidi="ar-SA"/>
        </w:rPr>
        <w:t xml:space="preserve"> 酒与民生息息相关</w:t>
      </w:r>
      <w:r>
        <w:rPr>
          <w:rFonts w:hint="eastAsia" w:ascii="仿宋_GB2312" w:hAnsi="仿宋_GB2312" w:cs="仿宋_GB2312"/>
          <w:kern w:val="2"/>
          <w:sz w:val="32"/>
          <w:szCs w:val="32"/>
          <w:u w:val="none"/>
          <w:lang w:val="en-US" w:eastAsia="zh-CN" w:bidi="ar-SA"/>
        </w:rPr>
        <w:t>，无证生产</w:t>
      </w:r>
      <w:r>
        <w:rPr>
          <w:rFonts w:hint="eastAsia" w:ascii="仿宋_GB2312" w:hAnsi="仿宋_GB2312" w:eastAsia="仿宋_GB2312" w:cs="仿宋_GB2312"/>
          <w:snapToGrid/>
          <w:sz w:val="32"/>
          <w:szCs w:val="32"/>
          <w:u w:val="none"/>
          <w:lang w:val="en-US" w:eastAsia="zh-CN"/>
        </w:rPr>
        <w:t>行为不仅严重侵犯了</w:t>
      </w:r>
      <w:r>
        <w:rPr>
          <w:rFonts w:hint="eastAsia" w:ascii="仿宋_GB2312" w:hAnsi="仿宋_GB2312" w:cs="仿宋_GB2312"/>
          <w:snapToGrid/>
          <w:sz w:val="32"/>
          <w:szCs w:val="32"/>
          <w:u w:val="none"/>
          <w:lang w:val="en-US" w:eastAsia="zh-CN"/>
        </w:rPr>
        <w:t>生产厂家</w:t>
      </w:r>
      <w:r>
        <w:rPr>
          <w:rFonts w:hint="eastAsia" w:ascii="仿宋_GB2312" w:hAnsi="仿宋_GB2312" w:eastAsia="仿宋_GB2312" w:cs="仿宋_GB2312"/>
          <w:snapToGrid/>
          <w:sz w:val="32"/>
          <w:szCs w:val="32"/>
          <w:u w:val="none"/>
          <w:lang w:val="en-US" w:eastAsia="zh-CN"/>
        </w:rPr>
        <w:t>的利益,而且损害了消费者的合法权益,扰乱了社会经济秩序</w:t>
      </w:r>
      <w:r>
        <w:rPr>
          <w:rFonts w:hint="eastAsia" w:ascii="仿宋_GB2312" w:hAnsi="仿宋_GB2312" w:cs="仿宋_GB2312"/>
          <w:snapToGrid/>
          <w:sz w:val="32"/>
          <w:szCs w:val="32"/>
          <w:u w:val="none"/>
          <w:lang w:val="en-US" w:eastAsia="zh-CN"/>
        </w:rPr>
        <w:t>，</w:t>
      </w:r>
      <w:r>
        <w:rPr>
          <w:rFonts w:hint="eastAsia" w:ascii="仿宋_GB2312" w:hAnsi="仿宋_GB2312" w:eastAsia="仿宋_GB2312" w:cs="仿宋_GB2312"/>
          <w:snapToGrid/>
          <w:sz w:val="32"/>
          <w:szCs w:val="32"/>
          <w:u w:val="none"/>
          <w:lang w:val="en-US" w:eastAsia="zh-CN"/>
        </w:rPr>
        <w:t>市场将管局将充分发挥</w:t>
      </w:r>
      <w:r>
        <w:rPr>
          <w:rFonts w:hint="eastAsia" w:ascii="仿宋_GB2312" w:hAnsi="仿宋_GB2312" w:cs="仿宋_GB2312"/>
          <w:snapToGrid/>
          <w:sz w:val="32"/>
          <w:szCs w:val="32"/>
          <w:u w:val="none"/>
          <w:lang w:val="en-US" w:eastAsia="zh-CN"/>
        </w:rPr>
        <w:t>监督作用</w:t>
      </w:r>
      <w:r>
        <w:rPr>
          <w:rFonts w:hint="eastAsia" w:ascii="仿宋_GB2312" w:hAnsi="仿宋_GB2312" w:eastAsia="仿宋_GB2312" w:cs="仿宋_GB2312"/>
          <w:snapToGrid/>
          <w:sz w:val="32"/>
          <w:szCs w:val="32"/>
          <w:u w:val="none"/>
          <w:lang w:val="en-US" w:eastAsia="zh-CN"/>
        </w:rPr>
        <w:t>，进一步体现市场监管部门打击侵害消费者合法权益的决心和力度，有效遏制不法分子。</w:t>
      </w:r>
    </w:p>
    <w:p>
      <w:pPr>
        <w:widowControl w:val="0"/>
        <w:numPr>
          <w:ilvl w:val="0"/>
          <w:numId w:val="0"/>
        </w:numPr>
        <w:ind w:firstLine="640" w:firstLineChars="200"/>
        <w:jc w:val="both"/>
        <w:rPr>
          <w:rFonts w:hint="eastAsia" w:ascii="黑体" w:hAnsi="黑体" w:eastAsia="黑体" w:cs="黑体"/>
          <w:snapToGrid/>
          <w:color w:val="auto"/>
          <w:w w:val="1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四、</w:t>
      </w:r>
      <w:r>
        <w:rPr>
          <w:rFonts w:hint="default" w:ascii="黑体" w:hAnsi="黑体" w:eastAsia="黑体" w:cs="黑体"/>
          <w:snapToGrid/>
          <w:color w:val="auto"/>
          <w:w w:val="100"/>
          <w:kern w:val="0"/>
          <w:sz w:val="32"/>
          <w:szCs w:val="32"/>
          <w:lang w:val="en-US" w:eastAsia="zh-CN" w:bidi="ar-SA"/>
        </w:rPr>
        <w:t>三门峡市市场监管综合行政执法支队</w:t>
      </w:r>
      <w:r>
        <w:rPr>
          <w:rFonts w:hint="eastAsia" w:ascii="黑体" w:hAnsi="黑体" w:eastAsia="黑体" w:cs="黑体"/>
          <w:snapToGrid/>
          <w:color w:val="auto"/>
          <w:w w:val="100"/>
          <w:kern w:val="0"/>
          <w:sz w:val="32"/>
          <w:szCs w:val="32"/>
          <w:lang w:val="en-US" w:eastAsia="zh-CN" w:bidi="ar-SA"/>
        </w:rPr>
        <w:t>示范区大队查处河南某食品有限公司生产经营黄曲霉素超标的混合芝麻酱案</w:t>
      </w:r>
    </w:p>
    <w:p>
      <w:pPr>
        <w:ind w:firstLine="640" w:firstLineChars="200"/>
        <w:rPr>
          <w:rFonts w:hint="eastAsia" w:ascii="仿宋_GB2312" w:eastAsia="仿宋_GB2312" w:hAnsiTheme="minorHAnsi" w:cstheme="minorBidi"/>
          <w:snapToGrid/>
          <w:sz w:val="32"/>
          <w:szCs w:val="32"/>
          <w:highlight w:val="red"/>
          <w:lang w:val="en-US" w:eastAsia="zh-CN"/>
        </w:rPr>
      </w:pPr>
      <w:r>
        <w:rPr>
          <w:rFonts w:hint="eastAsia" w:ascii="黑体" w:hAnsi="黑体" w:eastAsia="黑体" w:cs="黑体"/>
          <w:snapToGrid/>
          <w:color w:val="auto"/>
          <w:w w:val="100"/>
          <w:sz w:val="32"/>
          <w:szCs w:val="32"/>
          <w:lang w:val="en-US" w:eastAsia="zh-CN"/>
        </w:rPr>
        <w:t xml:space="preserve"> </w:t>
      </w:r>
      <w:r>
        <w:rPr>
          <w:rFonts w:hint="eastAsia" w:ascii="仿宋_GB2312" w:eastAsia="仿宋_GB2312" w:hAnsiTheme="minorHAnsi" w:cstheme="minorBidi"/>
          <w:snapToGrid/>
          <w:sz w:val="32"/>
          <w:szCs w:val="32"/>
          <w:lang w:val="en-US" w:eastAsia="zh-CN"/>
        </w:rPr>
        <w:t>2021年9月2日，</w:t>
      </w:r>
      <w:r>
        <w:rPr>
          <w:rFonts w:hint="default" w:ascii="仿宋_GB2312" w:eastAsia="仿宋_GB2312" w:hAnsiTheme="minorHAnsi" w:cstheme="minorBidi"/>
          <w:snapToGrid/>
          <w:sz w:val="32"/>
          <w:szCs w:val="32"/>
          <w:lang w:val="en-US" w:eastAsia="zh-CN"/>
        </w:rPr>
        <w:t>三门峡市市场监管综合行政执法支队</w:t>
      </w:r>
      <w:r>
        <w:rPr>
          <w:rFonts w:hint="eastAsia" w:ascii="仿宋_GB2312" w:eastAsia="仿宋_GB2312" w:hAnsiTheme="minorHAnsi" w:cstheme="minorBidi"/>
          <w:snapToGrid/>
          <w:sz w:val="32"/>
          <w:szCs w:val="32"/>
          <w:lang w:val="en-US" w:eastAsia="zh-CN"/>
        </w:rPr>
        <w:t>示范区大队收到检验报告显示辖区某食品有限公司生产的混合芝麻酱黄曲霉素B1项目不符合要求，检验结论为不合格。执法人员向当事人送达了检验报告并进行了现场检查。9月6日，企业提出复检申请。经河南省食品检验研究院复检，检验结论仍为不合格。当事人生产经营黄曲霉素超标的混合芝麻酱行为，违反了《中华人民共和国食品安全法》第三十四条第二项的规定，示范区大队</w:t>
      </w:r>
      <w:r>
        <w:rPr>
          <w:rFonts w:hint="eastAsia" w:ascii="仿宋_GB2312" w:eastAsia="仿宋_GB2312" w:hAnsiTheme="minorHAnsi" w:cstheme="minorBidi"/>
          <w:snapToGrid/>
          <w:sz w:val="32"/>
          <w:szCs w:val="32"/>
        </w:rPr>
        <w:t>依法对当事人做出行政处罚。</w:t>
      </w:r>
    </w:p>
    <w:p>
      <w:pPr>
        <w:widowControl w:val="0"/>
        <w:ind w:firstLine="640" w:firstLineChars="200"/>
        <w:jc w:val="both"/>
        <w:rPr>
          <w:rFonts w:hint="eastAsia" w:ascii="仿宋_GB2312" w:hAnsi="Times New Roman" w:eastAsia="仿宋_GB2312"/>
          <w:sz w:val="32"/>
          <w:szCs w:val="32"/>
        </w:rPr>
      </w:pPr>
      <w:r>
        <w:rPr>
          <w:rFonts w:hint="eastAsia" w:ascii="仿宋_GB2312" w:hAnsi="仿宋_GB2312" w:eastAsia="仿宋_GB2312" w:cs="仿宋_GB2312"/>
          <w:color w:val="000000"/>
          <w:kern w:val="0"/>
          <w:sz w:val="32"/>
          <w:szCs w:val="32"/>
          <w:u w:val="none" w:color="auto"/>
          <w:lang w:val="en-US" w:eastAsia="zh-CN" w:bidi="ar-SA"/>
        </w:rPr>
        <w:t>“四个最严”的核心是最字当头，不仅给食品生产经营者们划出了红线，也为监管部门戴上了紧箍咒</w:t>
      </w:r>
      <w:r>
        <w:rPr>
          <w:rFonts w:hint="eastAsia" w:ascii="仿宋_GB2312" w:hAnsi="仿宋_GB2312" w:cs="仿宋_GB2312"/>
          <w:color w:val="000000"/>
          <w:kern w:val="0"/>
          <w:sz w:val="32"/>
          <w:szCs w:val="32"/>
          <w:u w:val="none" w:color="auto"/>
          <w:lang w:val="en-US" w:eastAsia="zh-CN" w:bidi="ar-SA"/>
        </w:rPr>
        <w:t>。下一步市场监管部门将</w:t>
      </w:r>
      <w:r>
        <w:rPr>
          <w:rFonts w:hint="default" w:ascii="Times New Roman" w:hAnsi="Times New Roman" w:eastAsia="仿宋_GB2312" w:cs="Times New Roman"/>
          <w:sz w:val="32"/>
          <w:szCs w:val="32"/>
          <w:lang w:val="en-US" w:eastAsia="zh-CN"/>
        </w:rPr>
        <w:t>牢树“执法为民”理念，以创新的理念、务实的作风、奉献的精神，强化措施、扎实工作，高标准高质量完成好各项市场专项整治任务，</w:t>
      </w:r>
      <w:r>
        <w:rPr>
          <w:rFonts w:hint="eastAsia" w:ascii="仿宋_GB2312" w:hAnsi="仿宋_GB2312" w:eastAsia="仿宋_GB2312" w:cs="仿宋_GB2312"/>
          <w:sz w:val="32"/>
          <w:szCs w:val="32"/>
          <w:lang w:val="en-US" w:eastAsia="zh-CN"/>
        </w:rPr>
        <w:t>踔厉奋发、笃行不怠，</w:t>
      </w:r>
      <w:r>
        <w:rPr>
          <w:rFonts w:hint="eastAsia" w:ascii="仿宋_GB2312" w:hAnsi="仿宋_GB2312" w:cs="仿宋_GB2312"/>
          <w:sz w:val="32"/>
          <w:szCs w:val="32"/>
          <w:lang w:val="en-US" w:eastAsia="zh-CN"/>
        </w:rPr>
        <w:t>以实际行动</w:t>
      </w:r>
      <w:r>
        <w:rPr>
          <w:rFonts w:hint="eastAsia" w:ascii="仿宋_GB2312" w:hAnsi="仿宋_GB2312" w:eastAsia="仿宋_GB2312" w:cs="仿宋_GB2312"/>
          <w:color w:val="000000"/>
          <w:kern w:val="0"/>
          <w:sz w:val="32"/>
          <w:szCs w:val="32"/>
          <w:u w:val="none" w:color="auto"/>
          <w:lang w:val="en-US" w:eastAsia="zh-CN" w:bidi="ar-SA"/>
        </w:rPr>
        <w:t>确保人民群众</w:t>
      </w:r>
      <w:r>
        <w:rPr>
          <w:rFonts w:hint="eastAsia" w:ascii="仿宋_GB2312" w:hAnsi="仿宋_GB2312" w:cs="仿宋_GB2312"/>
          <w:color w:val="000000"/>
          <w:kern w:val="0"/>
          <w:sz w:val="32"/>
          <w:szCs w:val="32"/>
          <w:u w:val="none" w:color="auto"/>
          <w:lang w:val="en-US" w:eastAsia="zh-CN" w:bidi="ar-SA"/>
        </w:rPr>
        <w:t>消费</w:t>
      </w:r>
      <w:r>
        <w:rPr>
          <w:rFonts w:hint="eastAsia" w:ascii="仿宋_GB2312" w:hAnsi="仿宋_GB2312" w:eastAsia="仿宋_GB2312" w:cs="仿宋_GB2312"/>
          <w:color w:val="000000"/>
          <w:kern w:val="0"/>
          <w:sz w:val="32"/>
          <w:szCs w:val="32"/>
          <w:u w:val="none" w:color="auto"/>
          <w:lang w:val="en-US" w:eastAsia="zh-CN" w:bidi="ar-SA"/>
        </w:rPr>
        <w:t>安全。</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五、三门峡市市场监管综合行政执法支队湖滨大队查处</w:t>
      </w:r>
      <w:r>
        <w:rPr>
          <w:rFonts w:hint="eastAsia" w:ascii="黑体" w:hAnsi="黑体" w:eastAsia="黑体" w:cs="黑体"/>
          <w:sz w:val="32"/>
          <w:szCs w:val="32"/>
        </w:rPr>
        <w:t>三门峡</w:t>
      </w:r>
      <w:r>
        <w:rPr>
          <w:rFonts w:hint="eastAsia" w:ascii="黑体" w:hAnsi="黑体" w:eastAsia="黑体" w:cs="黑体"/>
          <w:sz w:val="32"/>
          <w:szCs w:val="32"/>
          <w:lang w:eastAsia="zh-CN"/>
        </w:rPr>
        <w:t>某</w:t>
      </w:r>
      <w:r>
        <w:rPr>
          <w:rFonts w:hint="eastAsia" w:ascii="黑体" w:hAnsi="黑体" w:eastAsia="黑体" w:cs="黑体"/>
          <w:sz w:val="32"/>
          <w:szCs w:val="32"/>
        </w:rPr>
        <w:t>钢结构工程有限公司生产、销售以不合格产品冒充合格产品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Cs/>
          <w:snapToGrid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2022年6月30日，</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湖滨大队</w:t>
      </w:r>
      <w:r>
        <w:rPr>
          <w:rFonts w:hint="eastAsia" w:ascii="仿宋_GB2312" w:hAnsi="仿宋_GB2312" w:eastAsia="仿宋_GB2312" w:cs="仿宋_GB2312"/>
          <w:snapToGrid w:val="0"/>
          <w:color w:val="000000" w:themeColor="text1"/>
          <w:sz w:val="32"/>
          <w:szCs w:val="32"/>
          <w14:textFill>
            <w14:solidFill>
              <w14:schemeClr w14:val="tx1"/>
            </w14:solidFill>
          </w14:textFill>
        </w:rPr>
        <w:t>执法人员接</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到</w:t>
      </w:r>
      <w:r>
        <w:rPr>
          <w:rFonts w:hint="eastAsia" w:ascii="仿宋_GB2312" w:hAnsi="仿宋_GB2312" w:eastAsia="仿宋_GB2312" w:cs="仿宋_GB2312"/>
          <w:snapToGrid w:val="0"/>
          <w:color w:val="000000" w:themeColor="text1"/>
          <w:sz w:val="32"/>
          <w:szCs w:val="32"/>
          <w14:textFill>
            <w14:solidFill>
              <w14:schemeClr w14:val="tx1"/>
            </w14:solidFill>
          </w14:textFill>
        </w:rPr>
        <w:t>编号：No SY2021080175的检验报告</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显示</w:t>
      </w:r>
      <w:r>
        <w:rPr>
          <w:rFonts w:hint="eastAsia" w:ascii="仿宋_GB2312" w:hAnsi="仿宋_GB2312" w:eastAsia="仿宋_GB2312" w:cs="仿宋_GB2312"/>
          <w:snapToGrid w:val="0"/>
          <w:color w:val="000000" w:themeColor="text1"/>
          <w:sz w:val="32"/>
          <w:szCs w:val="32"/>
          <w14:textFill>
            <w14:solidFill>
              <w14:schemeClr w14:val="tx1"/>
            </w14:solidFill>
          </w14:textFill>
        </w:rPr>
        <w:t>三门峡</w:t>
      </w:r>
      <w:r>
        <w:rPr>
          <w:rFonts w:hint="eastAsia" w:ascii="仿宋_GB2312" w:hAnsi="仿宋_GB2312" w:cs="仿宋_GB2312"/>
          <w:snapToGrid w:val="0"/>
          <w:color w:val="000000" w:themeColor="text1"/>
          <w:sz w:val="32"/>
          <w:szCs w:val="32"/>
          <w:lang w:eastAsia="zh-CN"/>
          <w14:textFill>
            <w14:solidFill>
              <w14:schemeClr w14:val="tx1"/>
            </w14:solidFill>
          </w14:textFill>
        </w:rPr>
        <w:t>某</w:t>
      </w:r>
      <w:r>
        <w:rPr>
          <w:rFonts w:hint="eastAsia" w:ascii="仿宋_GB2312" w:hAnsi="仿宋_GB2312" w:eastAsia="仿宋_GB2312" w:cs="仿宋_GB2312"/>
          <w:snapToGrid w:val="0"/>
          <w:color w:val="000000" w:themeColor="text1"/>
          <w:sz w:val="32"/>
          <w:szCs w:val="32"/>
          <w14:textFill>
            <w14:solidFill>
              <w14:schemeClr w14:val="tx1"/>
            </w14:solidFill>
          </w14:textFill>
        </w:rPr>
        <w:t>钢结构工程有限公司事人生产、销售的金属面岩棉夹芯板金属面材厚度、芯材密度、粘接强度项目不符合GB/T23932-2009标准要求，判定为不合格</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14:textFill>
            <w14:solidFill>
              <w14:schemeClr w14:val="tx1"/>
            </w14:solidFill>
          </w14:textFill>
        </w:rPr>
        <w:t>2022年7月20日执法人员予以立案调查</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，经查，</w:t>
      </w:r>
      <w:r>
        <w:rPr>
          <w:rFonts w:hint="eastAsia" w:ascii="仿宋_GB2312" w:hAnsi="仿宋_GB2312" w:eastAsia="仿宋_GB2312" w:cs="仿宋_GB2312"/>
          <w:snapToGrid w:val="0"/>
          <w:color w:val="000000" w:themeColor="text1"/>
          <w:sz w:val="32"/>
          <w:szCs w:val="32"/>
          <w14:textFill>
            <w14:solidFill>
              <w14:schemeClr w14:val="tx1"/>
            </w14:solidFill>
          </w14:textFill>
        </w:rPr>
        <w:t>当事人生产金属面岩棉夹芯板3</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56</w:t>
      </w:r>
      <w:r>
        <w:rPr>
          <w:rFonts w:hint="eastAsia" w:ascii="仿宋_GB2312" w:hAnsi="仿宋_GB2312" w:eastAsia="仿宋_GB2312" w:cs="仿宋_GB2312"/>
          <w:snapToGrid w:val="0"/>
          <w:color w:val="000000" w:themeColor="text1"/>
          <w:sz w:val="32"/>
          <w:szCs w:val="32"/>
          <w14:textFill>
            <w14:solidFill>
              <w14:schemeClr w14:val="tx1"/>
            </w14:solidFill>
          </w14:textFill>
        </w:rPr>
        <w:t>米</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14:textFill>
            <w14:solidFill>
              <w14:schemeClr w14:val="tx1"/>
            </w14:solidFill>
          </w14:textFill>
        </w:rPr>
        <w:t>销售</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326</w:t>
      </w:r>
      <w:r>
        <w:rPr>
          <w:rFonts w:hint="eastAsia" w:ascii="仿宋_GB2312" w:hAnsi="仿宋_GB2312" w:eastAsia="仿宋_GB2312" w:cs="仿宋_GB2312"/>
          <w:snapToGrid w:val="0"/>
          <w:color w:val="000000" w:themeColor="text1"/>
          <w:sz w:val="32"/>
          <w:szCs w:val="32"/>
          <w14:textFill>
            <w14:solidFill>
              <w14:schemeClr w14:val="tx1"/>
            </w14:solidFill>
          </w14:textFill>
        </w:rPr>
        <w:t>米，对不合格的金属面岩棉夹芯板加贴产品说明书以及产品合格证以不合格产品冒充合格产品进行销售</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snapToGrid w:val="0"/>
          <w:color w:val="000000" w:themeColor="text1"/>
          <w:sz w:val="32"/>
          <w:szCs w:val="32"/>
          <w14:textFill>
            <w14:solidFill>
              <w14:schemeClr w14:val="tx1"/>
            </w14:solidFill>
          </w14:textFill>
        </w:rPr>
        <w:t>违反了《中华人民共和国产品质量法》第三十二条</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14:textFill>
            <w14:solidFill>
              <w14:schemeClr w14:val="tx1"/>
            </w14:solidFill>
          </w14:textFill>
        </w:rPr>
        <w:t>依据《中华人民共和国产品质量法》第五十条</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，湖滨大队</w:t>
      </w:r>
      <w:r>
        <w:rPr>
          <w:rFonts w:hint="eastAsia" w:ascii="仿宋_GB2312" w:hAnsi="仿宋_GB2312" w:eastAsia="仿宋_GB2312" w:cs="仿宋_GB2312"/>
          <w:bCs/>
          <w:snapToGrid w:val="0"/>
          <w:color w:val="000000" w:themeColor="text1"/>
          <w:kern w:val="2"/>
          <w:sz w:val="32"/>
          <w:szCs w:val="32"/>
          <w:lang w:val="en-US" w:eastAsia="zh-CN" w:bidi="ar-SA"/>
          <w14:textFill>
            <w14:solidFill>
              <w14:schemeClr w14:val="tx1"/>
            </w14:solidFill>
          </w14:textFill>
        </w:rPr>
        <w:t>依法对当事人做出行政处罚。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不合格的彩钢夹芯板具有多种潜在风险</w:t>
      </w:r>
      <w:r>
        <w:rPr>
          <w:rFonts w:hint="eastAsia" w:ascii="仿宋_GB2312" w:hAnsi="仿宋_GB2312" w:eastAsia="仿宋_GB2312" w:cs="仿宋_GB2312"/>
          <w:snapToGrid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napToGrid w:val="0"/>
          <w:color w:val="000000" w:themeColor="text1"/>
          <w:sz w:val="32"/>
          <w:szCs w:val="32"/>
          <w14:textFill>
            <w14:solidFill>
              <w14:schemeClr w14:val="tx1"/>
            </w14:solidFill>
          </w14:textFill>
        </w:rPr>
        <w:t>生产厂家质量意识淡薄，在生产中偷工减料</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，导致多个项目不达标，存在安全隐患</w:t>
      </w:r>
      <w:r>
        <w:rPr>
          <w:rFonts w:hint="eastAsia" w:ascii="仿宋_GB2312" w:hAnsi="仿宋_GB2312" w:eastAsia="仿宋_GB2312" w:cs="仿宋_GB2312"/>
          <w:snapToGrid w:val="0"/>
          <w:color w:val="000000" w:themeColor="text1"/>
          <w:sz w:val="32"/>
          <w:szCs w:val="32"/>
          <w14:textFill>
            <w14:solidFill>
              <w14:schemeClr w14:val="tx1"/>
            </w14:solidFill>
          </w14:textFill>
        </w:rPr>
        <w:t>，</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此类案件的查处进一步</w:t>
      </w:r>
      <w:r>
        <w:rPr>
          <w:rFonts w:hint="eastAsia" w:ascii="仿宋_GB2312" w:hAnsi="仿宋_GB2312" w:eastAsia="仿宋_GB2312" w:cs="仿宋_GB2312"/>
          <w:snapToGrid w:val="0"/>
          <w:color w:val="000000" w:themeColor="text1"/>
          <w:sz w:val="32"/>
          <w:szCs w:val="32"/>
          <w14:textFill>
            <w14:solidFill>
              <w14:schemeClr w14:val="tx1"/>
            </w14:solidFill>
          </w14:textFill>
        </w:rPr>
        <w:t>提醒</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使用者</w:t>
      </w:r>
      <w:r>
        <w:rPr>
          <w:rFonts w:hint="eastAsia" w:ascii="仿宋_GB2312" w:hAnsi="仿宋_GB2312" w:eastAsia="仿宋_GB2312" w:cs="仿宋_GB2312"/>
          <w:snapToGrid w:val="0"/>
          <w:color w:val="000000" w:themeColor="text1"/>
          <w:sz w:val="32"/>
          <w:szCs w:val="32"/>
          <w14:textFill>
            <w14:solidFill>
              <w14:schemeClr w14:val="tx1"/>
            </w14:solidFill>
          </w14:textFill>
        </w:rPr>
        <w:t>谨慎购买、使用。在选购时，应按照要求，选用符合规定的彩钢夹芯板</w:t>
      </w:r>
      <w:r>
        <w:rPr>
          <w:rFonts w:hint="eastAsia" w:ascii="仿宋_GB2312" w:hAnsi="仿宋_GB2312" w:eastAsia="仿宋_GB2312" w:cs="仿宋_GB2312"/>
          <w:snapToGrid w:val="0"/>
          <w:color w:val="000000" w:themeColor="text1"/>
          <w:sz w:val="32"/>
          <w:szCs w:val="32"/>
          <w:lang w:eastAsia="zh-CN"/>
          <w14:textFill>
            <w14:solidFill>
              <w14:schemeClr w14:val="tx1"/>
            </w14:solidFill>
          </w14:textFill>
        </w:rPr>
        <w:t>。</w:t>
      </w:r>
    </w:p>
    <w:p>
      <w:pPr>
        <w:rPr>
          <w:rFonts w:hint="default"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WMxNTg1OGVkMzFjZmJjOTM4YTFhNzljMTdlYzEifQ=="/>
  </w:docVars>
  <w:rsids>
    <w:rsidRoot w:val="12DA49F0"/>
    <w:rsid w:val="0DE21D4B"/>
    <w:rsid w:val="12DA49F0"/>
    <w:rsid w:val="2B412B83"/>
    <w:rsid w:val="43A1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宋体"/>
      <w:snapToGrid w:val="0"/>
      <w:color w:val="000000" w:themeColor="text1"/>
      <w:kern w:val="2"/>
      <w:sz w:val="32"/>
      <w:szCs w:val="32"/>
      <w:lang w:val="en-US" w:eastAsia="zh-CN" w:bidi="ar-SA"/>
      <w14:textFill>
        <w14:solidFill>
          <w14:schemeClr w14:val="tx1"/>
        </w14:solidFill>
      </w14:textFill>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Times New Roman" w:hAnsi="Times New Roman" w:eastAsia="仿宋_GB2312" w:cs="宋体"/>
      <w:snapToGrid w:val="0"/>
      <w:color w:val="000000"/>
      <w:kern w:val="0"/>
      <w:sz w:val="32"/>
      <w:szCs w:val="32"/>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2023-03-12T09:11:00Z</dcterms:created>
  <dc:creator>cc</dc:creator>
  <cp:lastModifiedBy>申辉</cp:lastModifiedBy>
  <dcterms:modified xsi:type="dcterms:W3CDTF">2023-12-26T04:03:00Z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EA73D9D6ECFE43ABB93DA4C4C1E78AA7</vt:lpwstr>
  </property>
</Properties>
</file>