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1"/>
                <w:szCs w:val="21"/>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河南宜致大药房有限公司示范区医院店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91411200MA9KHEM53K</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河南省三门峡市城乡一体化示范区紫阳路城乡一体化示范区人民医院大门南侧1号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豫三食药监械经营备20220001号     </w:t>
            </w:r>
            <w:r>
              <w:rPr>
                <w:rFonts w:hint="default" w:ascii="仿宋_GB2312" w:hAnsi="仿宋_GB2312" w:eastAsia="仿宋_GB2312" w:cs="仿宋_GB2312"/>
                <w:b w:val="0"/>
                <w:bCs w:val="0"/>
                <w:color w:val="000000"/>
                <w:kern w:val="2"/>
                <w:sz w:val="24"/>
                <w:szCs w:val="24"/>
                <w:lang w:val="en" w:eastAsia="zh-CN" w:bidi="ar-SA"/>
              </w:rPr>
              <w:t xml:space="preserve">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bookmarkStart w:id="0" w:name="_GoBack"/>
            <w:bookmarkEnd w:id="0"/>
            <w:r>
              <w:rPr>
                <w:rFonts w:hint="eastAsia" w:ascii="仿宋_GB2312" w:hAnsi="仿宋_GB2312" w:eastAsia="仿宋_GB2312" w:cs="仿宋_GB2312"/>
                <w:b w:val="0"/>
                <w:bCs w:val="0"/>
                <w:color w:val="000000"/>
                <w:kern w:val="2"/>
                <w:sz w:val="24"/>
                <w:szCs w:val="24"/>
                <w:lang w:val="en-US" w:eastAsia="zh-CN" w:bidi="ar-SA"/>
              </w:rPr>
              <w:t>豫三食药监械经营许20220002号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79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547"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2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28"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759"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深圳百寿健康信息技术有限公司（百寿健康）</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eastAsia"/>
          <w:lang w:val="en-US" w:eastAsia="zh-CN"/>
        </w:rPr>
      </w:pPr>
    </w:p>
    <w:p>
      <w:pPr>
        <w:jc w:val="left"/>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p>
      <w:pPr>
        <w:jc w:val="left"/>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eastAsia"/>
          <w:lang w:val="en-US" w:eastAsia="zh-CN"/>
        </w:rPr>
      </w:pPr>
    </w:p>
    <w:p>
      <w:pPr>
        <w:jc w:val="left"/>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p>
      <w:pPr>
        <w:jc w:val="left"/>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rPr>
          <w:rFonts w:hint="default" w:ascii="仿宋_GB2312" w:hAnsi="仿宋_GB2312" w:eastAsia="仿宋_GB2312" w:cs="仿宋_GB2312"/>
          <w:b w:val="0"/>
          <w:bCs w:val="0"/>
          <w:sz w:val="30"/>
          <w:szCs w:val="30"/>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6A56FDD"/>
    <w:rsid w:val="67836DC0"/>
    <w:rsid w:val="69996D05"/>
    <w:rsid w:val="6A1E1802"/>
    <w:rsid w:val="6CD45760"/>
    <w:rsid w:val="6D142332"/>
    <w:rsid w:val="6E203F44"/>
    <w:rsid w:val="6EC03F4C"/>
    <w:rsid w:val="702E0741"/>
    <w:rsid w:val="77DF8127"/>
    <w:rsid w:val="77FB113D"/>
    <w:rsid w:val="7922405E"/>
    <w:rsid w:val="7B6FF176"/>
    <w:rsid w:val="7D48017D"/>
    <w:rsid w:val="7DFE469D"/>
    <w:rsid w:val="7EA64419"/>
    <w:rsid w:val="7F5F55BD"/>
    <w:rsid w:val="7FE5DD0C"/>
    <w:rsid w:val="9DBF25AD"/>
    <w:rsid w:val="AA3E552D"/>
    <w:rsid w:val="B97DC601"/>
    <w:rsid w:val="BBBD9241"/>
    <w:rsid w:val="BDDEC2E4"/>
    <w:rsid w:val="D26FC6F6"/>
    <w:rsid w:val="DFDFDC21"/>
    <w:rsid w:val="EABA807E"/>
    <w:rsid w:val="EFF44DD7"/>
    <w:rsid w:val="F5BD85BC"/>
    <w:rsid w:val="F73773D1"/>
    <w:rsid w:val="FD7D6993"/>
    <w:rsid w:val="FDDEF406"/>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21</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lenovo097</dc:creator>
  <cp:lastModifiedBy>kylin</cp:lastModifiedBy>
  <cp:lastPrinted>2022-02-15T11:17:00Z</cp:lastPrinted>
  <dcterms:modified xsi:type="dcterms:W3CDTF">2023-11-16T11:35:03Z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