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560" w:lineRule="exact"/>
        <w:jc w:val="center"/>
        <w:rPr>
          <w:rFonts w:hint="eastAsia" w:ascii="华文中宋" w:hAnsi="华文中宋" w:eastAsia="华文中宋" w:cs="方正小标宋简体"/>
          <w:b/>
          <w:sz w:val="48"/>
          <w:szCs w:val="48"/>
          <w:lang w:eastAsia="zh-CN"/>
        </w:rPr>
      </w:pPr>
      <w:r>
        <w:rPr>
          <w:rFonts w:hint="eastAsia" w:ascii="华文中宋" w:hAnsi="华文中宋" w:eastAsia="华文中宋" w:cs="方正小标宋简体"/>
          <w:b/>
          <w:sz w:val="48"/>
          <w:szCs w:val="48"/>
        </w:rPr>
        <w:t>三门峡市市场监督管理局抽检检测</w:t>
      </w:r>
      <w:r>
        <w:rPr>
          <w:rFonts w:hint="eastAsia" w:ascii="华文中宋" w:hAnsi="华文中宋" w:eastAsia="华文中宋" w:cs="方正小标宋简体"/>
          <w:b/>
          <w:sz w:val="48"/>
          <w:szCs w:val="48"/>
          <w:lang w:eastAsia="zh-CN"/>
        </w:rPr>
        <w:t>经费</w:t>
      </w:r>
    </w:p>
    <w:p>
      <w:pPr>
        <w:spacing w:before="312" w:beforeLines="100" w:after="312" w:afterLines="100" w:line="360" w:lineRule="auto"/>
        <w:jc w:val="center"/>
        <w:rPr>
          <w:rFonts w:ascii="华文中宋" w:hAnsi="华文中宋" w:eastAsia="华文中宋" w:cs="方正小标宋简体"/>
          <w:b/>
          <w:sz w:val="48"/>
          <w:szCs w:val="48"/>
        </w:rPr>
      </w:pPr>
      <w:r>
        <w:rPr>
          <w:rFonts w:hint="eastAsia" w:ascii="华文中宋" w:hAnsi="华文中宋" w:eastAsia="华文中宋" w:cs="方正小标宋简体"/>
          <w:b/>
          <w:sz w:val="48"/>
          <w:szCs w:val="48"/>
        </w:rPr>
        <w:t>202</w:t>
      </w:r>
      <w:r>
        <w:rPr>
          <w:rFonts w:hint="eastAsia" w:ascii="华文中宋" w:hAnsi="华文中宋" w:eastAsia="华文中宋" w:cs="方正小标宋简体"/>
          <w:b/>
          <w:sz w:val="48"/>
          <w:szCs w:val="48"/>
          <w:lang w:val="en-US" w:eastAsia="zh-CN"/>
        </w:rPr>
        <w:t>1</w:t>
      </w:r>
      <w:r>
        <w:rPr>
          <w:rFonts w:hint="eastAsia" w:ascii="华文中宋" w:hAnsi="华文中宋" w:eastAsia="华文中宋" w:cs="方正小标宋简体"/>
          <w:b/>
          <w:sz w:val="48"/>
          <w:szCs w:val="48"/>
        </w:rPr>
        <w:t>年度项目支出自评报告</w:t>
      </w:r>
    </w:p>
    <w:p>
      <w:pPr>
        <w:spacing w:before="100" w:after="100" w:line="360" w:lineRule="auto"/>
        <w:ind w:firstLine="420" w:firstLineChars="200"/>
      </w:pPr>
      <w:bookmarkStart w:id="72" w:name="_GoBack"/>
      <w:bookmarkEnd w:id="72"/>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420" w:firstLineChars="200"/>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606" w:firstLineChars="500"/>
        <w:rPr>
          <w:rFonts w:ascii="宋体" w:hAnsi="宋体" w:eastAsia="宋体" w:cs="宋体"/>
          <w:b/>
          <w:sz w:val="32"/>
          <w:szCs w:val="32"/>
        </w:rPr>
      </w:pPr>
    </w:p>
    <w:p>
      <w:pPr>
        <w:spacing w:before="100" w:after="100" w:line="360" w:lineRule="auto"/>
        <w:ind w:firstLine="1285" w:firstLineChars="400"/>
        <w:rPr>
          <w:rFonts w:ascii="宋体" w:hAnsi="宋体" w:eastAsia="宋体" w:cs="宋体"/>
          <w:b/>
          <w:sz w:val="32"/>
          <w:szCs w:val="32"/>
        </w:rPr>
      </w:pPr>
      <w:r>
        <w:rPr>
          <w:rFonts w:hint="eastAsia" w:ascii="宋体" w:hAnsi="宋体" w:eastAsia="宋体" w:cs="宋体"/>
          <w:b/>
          <w:sz w:val="32"/>
          <w:szCs w:val="32"/>
        </w:rPr>
        <w:t>自评单位：三门峡市市场监督管理局抽检检测科</w:t>
      </w:r>
    </w:p>
    <w:p>
      <w:pPr>
        <w:spacing w:line="360" w:lineRule="auto"/>
        <w:ind w:firstLine="1285" w:firstLineChars="400"/>
        <w:rPr>
          <w:rFonts w:ascii="宋体" w:hAnsi="宋体" w:eastAsia="宋体" w:cs="宋体"/>
          <w:b/>
          <w:sz w:val="32"/>
          <w:szCs w:val="32"/>
        </w:rPr>
      </w:pPr>
      <w:r>
        <w:rPr>
          <w:rFonts w:hint="eastAsia" w:ascii="宋体" w:hAnsi="宋体" w:eastAsia="宋体" w:cs="宋体"/>
          <w:b/>
          <w:sz w:val="32"/>
          <w:szCs w:val="32"/>
        </w:rPr>
        <w:t>日    期：202</w:t>
      </w:r>
      <w:r>
        <w:rPr>
          <w:rFonts w:hint="eastAsia" w:ascii="宋体" w:hAnsi="宋体" w:eastAsia="宋体" w:cs="宋体"/>
          <w:b/>
          <w:sz w:val="32"/>
          <w:szCs w:val="32"/>
          <w:lang w:val="en-US" w:eastAsia="zh-CN"/>
        </w:rPr>
        <w:t>2</w:t>
      </w:r>
      <w:r>
        <w:rPr>
          <w:rFonts w:hint="eastAsia" w:ascii="宋体" w:hAnsi="宋体" w:eastAsia="宋体" w:cs="宋体"/>
          <w:b/>
          <w:sz w:val="32"/>
          <w:szCs w:val="32"/>
        </w:rPr>
        <w:t>年</w:t>
      </w:r>
      <w:r>
        <w:rPr>
          <w:rFonts w:hint="eastAsia" w:ascii="宋体" w:hAnsi="宋体" w:eastAsia="宋体" w:cs="宋体"/>
          <w:b/>
          <w:sz w:val="32"/>
          <w:szCs w:val="32"/>
          <w:lang w:val="en-US" w:eastAsia="zh-CN"/>
        </w:rPr>
        <w:t>4</w:t>
      </w:r>
      <w:r>
        <w:rPr>
          <w:rFonts w:hint="eastAsia" w:ascii="宋体" w:hAnsi="宋体" w:eastAsia="宋体" w:cs="宋体"/>
          <w:b/>
          <w:sz w:val="32"/>
          <w:szCs w:val="32"/>
        </w:rPr>
        <w:t>月</w:t>
      </w:r>
    </w:p>
    <w:p>
      <w:pPr>
        <w:jc w:val="center"/>
        <w:rPr>
          <w:rFonts w:ascii="宋体" w:hAnsi="宋体" w:eastAsia="宋体"/>
          <w:b/>
          <w:bCs/>
          <w:sz w:val="28"/>
          <w:szCs w:val="36"/>
        </w:rPr>
        <w:sectPr>
          <w:pgSz w:w="11906" w:h="16838"/>
          <w:pgMar w:top="1440" w:right="1800" w:bottom="1440" w:left="1800" w:header="851" w:footer="992" w:gutter="0"/>
          <w:pgNumType w:fmt="upperRoman"/>
          <w:cols w:space="425" w:num="1"/>
          <w:docGrid w:type="lines" w:linePitch="312" w:charSpace="0"/>
        </w:sectPr>
      </w:pPr>
    </w:p>
    <w:sdt>
      <w:sdtPr>
        <w:rPr>
          <w:rFonts w:hint="eastAsia" w:ascii="黑体" w:hAnsi="黑体" w:eastAsia="黑体" w:cs="黑体"/>
          <w:b/>
          <w:bCs/>
          <w:sz w:val="40"/>
          <w:szCs w:val="40"/>
        </w:rPr>
        <w:id w:val="147454492"/>
        <w15:color w:val="DBDBDB"/>
        <w:docPartObj>
          <w:docPartGallery w:val="Table of Contents"/>
          <w:docPartUnique/>
        </w:docPartObj>
      </w:sdtPr>
      <w:sdtEndPr>
        <w:rPr>
          <w:rFonts w:hint="eastAsia" w:ascii="黑体" w:hAnsi="黑体" w:eastAsia="黑体" w:cs="黑体"/>
          <w:b/>
          <w:bCs w:val="0"/>
          <w:sz w:val="32"/>
          <w:szCs w:val="32"/>
        </w:rPr>
      </w:sdtEndPr>
      <w:sdtContent>
        <w:p>
          <w:pPr>
            <w:jc w:val="center"/>
            <w:rPr>
              <w:rFonts w:ascii="黑体" w:hAnsi="黑体" w:eastAsia="黑体" w:cs="黑体"/>
              <w:b/>
              <w:bCs/>
              <w:sz w:val="40"/>
              <w:szCs w:val="40"/>
            </w:rPr>
          </w:pPr>
          <w:bookmarkStart w:id="0" w:name="_Toc6149"/>
          <w:r>
            <w:rPr>
              <w:rFonts w:hint="eastAsia" w:ascii="宋体" w:hAnsi="宋体" w:eastAsia="宋体" w:cs="宋体"/>
              <w:b/>
              <w:bCs/>
              <w:sz w:val="40"/>
              <w:szCs w:val="40"/>
            </w:rPr>
            <w:t>目录</w:t>
          </w:r>
        </w:p>
        <w:p>
          <w:pPr>
            <w:pStyle w:val="14"/>
            <w:tabs>
              <w:tab w:val="right" w:leader="dot" w:pos="8306"/>
            </w:tabs>
            <w:rPr>
              <w:rFonts w:ascii="黑体" w:hAnsi="黑体" w:eastAsia="黑体" w:cs="黑体"/>
              <w:sz w:val="28"/>
              <w:szCs w:val="28"/>
            </w:rPr>
          </w:pPr>
          <w:r>
            <w:rPr>
              <w:rFonts w:hint="eastAsia" w:ascii="黑体" w:hAnsi="黑体" w:eastAsia="黑体" w:cs="黑体"/>
              <w:b/>
              <w:sz w:val="28"/>
              <w:szCs w:val="28"/>
            </w:rPr>
            <w:fldChar w:fldCharType="begin"/>
          </w:r>
          <w:r>
            <w:rPr>
              <w:rFonts w:hint="eastAsia" w:ascii="黑体" w:hAnsi="黑体" w:eastAsia="黑体" w:cs="黑体"/>
              <w:b/>
              <w:sz w:val="28"/>
              <w:szCs w:val="28"/>
            </w:rPr>
            <w:instrText xml:space="preserve">TOC \o "1-2" \h \u </w:instrText>
          </w:r>
          <w:r>
            <w:rPr>
              <w:rFonts w:hint="eastAsia" w:ascii="黑体" w:hAnsi="黑体" w:eastAsia="黑体" w:cs="黑体"/>
              <w:b/>
              <w:sz w:val="28"/>
              <w:szCs w:val="28"/>
            </w:rPr>
            <w:fldChar w:fldCharType="separate"/>
          </w:r>
        </w:p>
        <w:p>
          <w:pPr>
            <w:pStyle w:val="14"/>
            <w:tabs>
              <w:tab w:val="right" w:leader="dot" w:pos="8306"/>
            </w:tabs>
            <w:rPr>
              <w:rFonts w:ascii="黑体" w:hAnsi="黑体" w:eastAsia="黑体" w:cs="黑体"/>
              <w:sz w:val="28"/>
              <w:szCs w:val="28"/>
            </w:rPr>
          </w:pPr>
          <w:r>
            <w:fldChar w:fldCharType="begin"/>
          </w:r>
          <w:r>
            <w:instrText xml:space="preserve"> HYPERLINK \l "_Toc21579" </w:instrText>
          </w:r>
          <w:r>
            <w:fldChar w:fldCharType="separate"/>
          </w:r>
          <w:r>
            <w:rPr>
              <w:rFonts w:hint="eastAsia" w:ascii="黑体" w:hAnsi="黑体" w:eastAsia="黑体" w:cs="黑体"/>
              <w:sz w:val="28"/>
              <w:szCs w:val="28"/>
            </w:rPr>
            <w:t>一、项目支出基本情况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_Toc21579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"_Toc30125" </w:instrText>
          </w:r>
          <w:r>
            <w:fldChar w:fldCharType="separate"/>
          </w:r>
          <w:r>
            <w:rPr>
              <w:rFonts w:hint="eastAsia" w:ascii="黑体" w:hAnsi="黑体" w:eastAsia="黑体" w:cs="黑体"/>
              <w:sz w:val="28"/>
              <w:szCs w:val="28"/>
            </w:rPr>
            <w:t>（一）项目支出预算和执行情况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_Toc30125 \h </w:instrText>
          </w:r>
          <w:r>
            <w:rPr>
              <w:rFonts w:hint="eastAsia" w:ascii="黑体" w:hAnsi="黑体" w:eastAsia="黑体" w:cs="黑体"/>
              <w:sz w:val="28"/>
              <w:szCs w:val="28"/>
            </w:rPr>
            <w:fldChar w:fldCharType="separate"/>
          </w:r>
          <w:r>
            <w:rPr>
              <w:rFonts w:hint="eastAsia" w:ascii="黑体" w:hAnsi="黑体" w:eastAsia="黑体" w:cs="黑体"/>
              <w:sz w:val="28"/>
              <w:szCs w:val="28"/>
            </w:rPr>
            <w:t>- 1 -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"_Toc23046" </w:instrText>
          </w:r>
          <w:r>
            <w:fldChar w:fldCharType="separate"/>
          </w:r>
          <w:r>
            <w:rPr>
              <w:rFonts w:hint="eastAsia" w:ascii="黑体" w:hAnsi="黑体" w:eastAsia="黑体" w:cs="黑体"/>
              <w:sz w:val="28"/>
              <w:szCs w:val="28"/>
            </w:rPr>
            <w:t>（二）项目内容</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_Toc23046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"_Toc12012" </w:instrText>
          </w:r>
          <w:r>
            <w:fldChar w:fldCharType="separate"/>
          </w:r>
          <w:r>
            <w:rPr>
              <w:rFonts w:hint="eastAsia" w:ascii="黑体" w:hAnsi="黑体" w:eastAsia="黑体" w:cs="黑体"/>
              <w:sz w:val="28"/>
              <w:szCs w:val="28"/>
            </w:rPr>
            <w:t>（三）绩效目标批复情况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_Toc12012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"_Toc22554" </w:instrText>
          </w:r>
          <w:r>
            <w:fldChar w:fldCharType="separate"/>
          </w:r>
          <w:r>
            <w:rPr>
              <w:rFonts w:hint="eastAsia" w:ascii="黑体" w:hAnsi="黑体" w:eastAsia="黑体" w:cs="黑体"/>
              <w:sz w:val="28"/>
              <w:szCs w:val="28"/>
            </w:rPr>
            <w:t>二、单位自评工作开展情况</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_Toc22554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"_Toc7132" </w:instrText>
          </w:r>
          <w:r>
            <w:fldChar w:fldCharType="separate"/>
          </w:r>
          <w:r>
            <w:rPr>
              <w:rFonts w:hint="eastAsia" w:ascii="黑体" w:hAnsi="黑体" w:eastAsia="黑体" w:cs="黑体"/>
              <w:sz w:val="28"/>
              <w:szCs w:val="28"/>
            </w:rPr>
            <w:t>（一）绩效自评目的和意义</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_Toc7132 \h </w:instrText>
          </w:r>
          <w:r>
            <w:rPr>
              <w:rFonts w:hint="eastAsia" w:ascii="黑体" w:hAnsi="黑体" w:eastAsia="黑体" w:cs="黑体"/>
              <w:sz w:val="28"/>
              <w:szCs w:val="28"/>
            </w:rPr>
            <w:fldChar w:fldCharType="separate"/>
          </w:r>
          <w:r>
            <w:rPr>
              <w:rFonts w:hint="eastAsia" w:ascii="黑体" w:hAnsi="黑体" w:eastAsia="黑体" w:cs="黑体"/>
              <w:sz w:val="28"/>
              <w:szCs w:val="28"/>
            </w:rPr>
            <w:t>- 2 -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"_Toc11744" </w:instrText>
          </w:r>
          <w:r>
            <w:fldChar w:fldCharType="separate"/>
          </w:r>
          <w:r>
            <w:rPr>
              <w:rFonts w:hint="eastAsia" w:ascii="黑体" w:hAnsi="黑体" w:eastAsia="黑体" w:cs="黑体"/>
              <w:sz w:val="28"/>
              <w:szCs w:val="28"/>
            </w:rPr>
            <w:t>（二）绩效自评对象和范围</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_Toc11744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"_Toc20074" </w:instrText>
          </w:r>
          <w:r>
            <w:fldChar w:fldCharType="separate"/>
          </w:r>
          <w:r>
            <w:rPr>
              <w:rFonts w:hint="eastAsia" w:ascii="黑体" w:hAnsi="黑体" w:eastAsia="黑体" w:cs="黑体"/>
              <w:sz w:val="28"/>
              <w:szCs w:val="28"/>
            </w:rPr>
            <w:t>（三）绩效评价的依据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_Toc20074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"_Toc23997" </w:instrText>
          </w:r>
          <w:r>
            <w:fldChar w:fldCharType="separate"/>
          </w:r>
          <w:r>
            <w:rPr>
              <w:rFonts w:hint="eastAsia" w:ascii="黑体" w:hAnsi="黑体" w:eastAsia="黑体" w:cs="黑体"/>
              <w:sz w:val="28"/>
              <w:szCs w:val="28"/>
            </w:rPr>
            <w:t>（四）评分方法</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_Toc23997 \h </w:instrText>
          </w:r>
          <w:r>
            <w:rPr>
              <w:rFonts w:hint="eastAsia" w:ascii="黑体" w:hAnsi="黑体" w:eastAsia="黑体" w:cs="黑体"/>
              <w:sz w:val="28"/>
              <w:szCs w:val="28"/>
            </w:rPr>
            <w:fldChar w:fldCharType="separate"/>
          </w:r>
          <w:r>
            <w:rPr>
              <w:rFonts w:hint="eastAsia" w:ascii="黑体" w:hAnsi="黑体" w:eastAsia="黑体" w:cs="黑体"/>
              <w:sz w:val="28"/>
              <w:szCs w:val="28"/>
            </w:rPr>
            <w:t>- 4 -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"_Toc16101" </w:instrText>
          </w:r>
          <w:r>
            <w:fldChar w:fldCharType="separate"/>
          </w:r>
          <w:r>
            <w:rPr>
              <w:rFonts w:hint="eastAsia" w:ascii="黑体" w:hAnsi="黑体" w:eastAsia="黑体" w:cs="黑体"/>
              <w:sz w:val="28"/>
              <w:szCs w:val="28"/>
            </w:rPr>
            <w:t>（五）绩效自评工作组织</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_Toc16101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"_Toc2106" </w:instrText>
          </w:r>
          <w:r>
            <w:fldChar w:fldCharType="separate"/>
          </w:r>
          <w:r>
            <w:rPr>
              <w:rFonts w:hint="eastAsia" w:ascii="黑体" w:hAnsi="黑体" w:eastAsia="黑体" w:cs="黑体"/>
              <w:sz w:val="28"/>
              <w:szCs w:val="28"/>
            </w:rPr>
            <w:t>三、</w:t>
          </w:r>
          <w:r>
            <w:rPr>
              <w:rFonts w:hint="eastAsia" w:ascii="黑体" w:hAnsi="黑体" w:eastAsia="黑体" w:cs="黑体"/>
              <w:sz w:val="28"/>
              <w:szCs w:val="28"/>
              <w:lang w:val="zh-CN"/>
            </w:rPr>
            <w:t>单位自评结果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_Toc2106 \h </w:instrText>
          </w:r>
          <w:r>
            <w:rPr>
              <w:rFonts w:hint="eastAsia" w:ascii="黑体" w:hAnsi="黑体" w:eastAsia="黑体" w:cs="黑体"/>
              <w:sz w:val="28"/>
              <w:szCs w:val="28"/>
            </w:rPr>
            <w:fldChar w:fldCharType="separate"/>
          </w:r>
          <w:r>
            <w:rPr>
              <w:rFonts w:hint="eastAsia" w:ascii="黑体" w:hAnsi="黑体" w:eastAsia="黑体" w:cs="黑体"/>
              <w:sz w:val="28"/>
              <w:szCs w:val="28"/>
            </w:rPr>
            <w:t>- 5 -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5"/>
            <w:tabs>
              <w:tab w:val="right" w:leader="dot" w:pos="8306"/>
            </w:tabs>
            <w:rPr>
              <w:rFonts w:ascii="黑体" w:hAnsi="黑体" w:eastAsia="黑体" w:cs="黑体"/>
              <w:sz w:val="28"/>
              <w:szCs w:val="28"/>
            </w:rPr>
          </w:pPr>
          <w:r>
            <w:fldChar w:fldCharType="begin"/>
          </w:r>
          <w:r>
            <w:instrText xml:space="preserve"> HYPERLINK \l "_Toc22338" </w:instrText>
          </w:r>
          <w:r>
            <w:fldChar w:fldCharType="separate"/>
          </w:r>
          <w:r>
            <w:rPr>
              <w:rFonts w:hint="eastAsia" w:ascii="黑体" w:hAnsi="黑体" w:eastAsia="黑体" w:cs="黑体"/>
              <w:sz w:val="28"/>
              <w:szCs w:val="28"/>
              <w:lang w:val="zh-CN"/>
            </w:rPr>
            <w:t>（一）自评结果</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_Toc22338 \h </w:instrText>
          </w:r>
          <w:r>
            <w:rPr>
              <w:rFonts w:hint="eastAsia" w:ascii="黑体" w:hAnsi="黑体" w:eastAsia="黑体" w:cs="黑体"/>
              <w:sz w:val="28"/>
              <w:szCs w:val="28"/>
            </w:rPr>
            <w:fldChar w:fldCharType="separate"/>
          </w:r>
          <w:r>
            <w:rPr>
              <w:rFonts w:hint="eastAsia" w:ascii="黑体" w:hAnsi="黑体" w:eastAsia="黑体" w:cs="黑体"/>
              <w:sz w:val="28"/>
              <w:szCs w:val="28"/>
            </w:rPr>
            <w:t>- 6 -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"_Toc6497" </w:instrText>
          </w:r>
          <w:r>
            <w:fldChar w:fldCharType="separate"/>
          </w:r>
          <w:r>
            <w:rPr>
              <w:rFonts w:hint="eastAsia" w:ascii="黑体" w:hAnsi="黑体" w:eastAsia="黑体" w:cs="黑体"/>
              <w:sz w:val="28"/>
              <w:szCs w:val="28"/>
              <w:lang w:val="zh-CN"/>
            </w:rPr>
            <w:t>四、 自评发现的问题及整改措施</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_Toc6497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"_Toc16509" </w:instrText>
          </w:r>
          <w:r>
            <w:fldChar w:fldCharType="separate"/>
          </w:r>
          <w:r>
            <w:rPr>
              <w:rFonts w:hint="eastAsia" w:ascii="黑体" w:hAnsi="黑体" w:eastAsia="黑体" w:cs="黑体"/>
              <w:sz w:val="28"/>
              <w:szCs w:val="28"/>
              <w:lang w:val="zh-CN"/>
            </w:rPr>
            <w:t>五、 绩效自评工作建议及预算安排建议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_Toc16509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r>
            <w:fldChar w:fldCharType="begin"/>
          </w:r>
          <w:r>
            <w:instrText xml:space="preserve"> HYPERLINK \l "_Toc7334" </w:instrText>
          </w:r>
          <w:r>
            <w:fldChar w:fldCharType="separate"/>
          </w:r>
          <w:r>
            <w:rPr>
              <w:rFonts w:hint="eastAsia" w:ascii="黑体" w:hAnsi="黑体" w:eastAsia="黑体" w:cs="黑体"/>
              <w:sz w:val="28"/>
              <w:szCs w:val="28"/>
              <w:lang w:val="zh-CN"/>
            </w:rPr>
            <w:t>六、 其他需要说明的问题</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_Toc7334 \h </w:instrText>
          </w:r>
          <w:r>
            <w:rPr>
              <w:rFonts w:hint="eastAsia" w:ascii="黑体" w:hAnsi="黑体" w:eastAsia="黑体" w:cs="黑体"/>
              <w:sz w:val="28"/>
              <w:szCs w:val="28"/>
            </w:rPr>
            <w:fldChar w:fldCharType="separate"/>
          </w:r>
          <w:r>
            <w:rPr>
              <w:rFonts w:hint="eastAsia" w:ascii="黑体" w:hAnsi="黑体" w:eastAsia="黑体" w:cs="黑体"/>
              <w:sz w:val="28"/>
              <w:szCs w:val="28"/>
            </w:rPr>
            <w:t>- 8 -</w:t>
          </w:r>
          <w:r>
            <w:rPr>
              <w:rFonts w:hint="eastAsia" w:ascii="黑体" w:hAnsi="黑体" w:eastAsia="黑体" w:cs="黑体"/>
              <w:sz w:val="28"/>
              <w:szCs w:val="28"/>
            </w:rPr>
            <w:fldChar w:fldCharType="end"/>
          </w:r>
          <w:r>
            <w:rPr>
              <w:rFonts w:hint="eastAsia" w:ascii="黑体" w:hAnsi="黑体" w:eastAsia="黑体" w:cs="黑体"/>
              <w:sz w:val="28"/>
              <w:szCs w:val="28"/>
            </w:rPr>
            <w:fldChar w:fldCharType="end"/>
          </w:r>
        </w:p>
        <w:p>
          <w:pPr>
            <w:pStyle w:val="14"/>
            <w:tabs>
              <w:tab w:val="right" w:leader="dot" w:pos="8306"/>
            </w:tabs>
            <w:rPr>
              <w:rFonts w:ascii="黑体" w:hAnsi="黑体" w:eastAsia="黑体" w:cs="黑体"/>
              <w:sz w:val="28"/>
              <w:szCs w:val="28"/>
            </w:rPr>
          </w:pPr>
        </w:p>
        <w:p>
          <w:pPr>
            <w:spacing w:line="360" w:lineRule="auto"/>
            <w:jc w:val="center"/>
            <w:rPr>
              <w:rFonts w:ascii="华文中宋" w:hAnsi="华文中宋" w:eastAsia="华文中宋" w:cs="方正小标宋简体"/>
              <w:b/>
              <w:szCs w:val="44"/>
            </w:rPr>
          </w:pPr>
          <w:r>
            <w:rPr>
              <w:rFonts w:hint="eastAsia" w:ascii="黑体" w:hAnsi="黑体" w:eastAsia="黑体" w:cs="黑体"/>
              <w:sz w:val="28"/>
              <w:szCs w:val="28"/>
            </w:rPr>
            <w:fldChar w:fldCharType="end"/>
          </w:r>
        </w:p>
      </w:sdtContent>
    </w:sdt>
    <w:p>
      <w:pPr>
        <w:widowControl/>
        <w:tabs>
          <w:tab w:val="left" w:pos="6997"/>
        </w:tabs>
        <w:jc w:val="left"/>
        <w:sectPr>
          <w:footerReference r:id="rId3" w:type="default"/>
          <w:pgSz w:w="11906" w:h="16838"/>
          <w:pgMar w:top="1440" w:right="1800" w:bottom="1440" w:left="1800" w:header="851" w:footer="992" w:gutter="0"/>
          <w:pgNumType w:fmt="upperRoman" w:start="1"/>
          <w:cols w:space="425" w:num="1"/>
          <w:docGrid w:type="lines" w:linePitch="312" w:charSpace="0"/>
        </w:sectPr>
      </w:pPr>
      <w:r>
        <w:rPr>
          <w:rFonts w:hint="eastAsia"/>
        </w:rPr>
        <w:tab/>
      </w:r>
    </w:p>
    <w:bookmarkEnd w:id="0"/>
    <w:p>
      <w:pPr>
        <w:spacing w:line="360" w:lineRule="auto"/>
        <w:jc w:val="center"/>
        <w:outlineLvl w:val="0"/>
        <w:rPr>
          <w:rFonts w:ascii="华文中宋" w:hAnsi="华文中宋" w:eastAsia="华文中宋" w:cs="方正小标宋简体"/>
          <w:b/>
          <w:sz w:val="44"/>
          <w:szCs w:val="44"/>
        </w:rPr>
      </w:pPr>
      <w:bookmarkStart w:id="1" w:name="_Toc4141"/>
      <w:r>
        <w:rPr>
          <w:rFonts w:hint="eastAsia" w:ascii="华文中宋" w:hAnsi="华文中宋" w:eastAsia="华文中宋" w:cs="方正小标宋简体"/>
          <w:b/>
          <w:sz w:val="44"/>
          <w:szCs w:val="44"/>
        </w:rPr>
        <w:t>三门峡市市场监督管理局</w:t>
      </w:r>
      <w:bookmarkEnd w:id="1"/>
      <w:r>
        <w:rPr>
          <w:rFonts w:hint="eastAsia" w:ascii="华文中宋" w:hAnsi="华文中宋" w:eastAsia="华文中宋" w:cs="方正小标宋简体"/>
          <w:b/>
          <w:sz w:val="44"/>
          <w:szCs w:val="44"/>
        </w:rPr>
        <w:t>抽检检测科</w:t>
      </w:r>
    </w:p>
    <w:p>
      <w:pPr>
        <w:spacing w:line="360" w:lineRule="auto"/>
        <w:jc w:val="center"/>
        <w:outlineLvl w:val="0"/>
        <w:rPr>
          <w:rFonts w:ascii="华文中宋" w:hAnsi="华文中宋" w:eastAsia="华文中宋" w:cs="方正小标宋简体"/>
          <w:b/>
          <w:sz w:val="44"/>
          <w:szCs w:val="44"/>
        </w:rPr>
      </w:pPr>
      <w:bookmarkStart w:id="2" w:name="_Toc23711"/>
      <w:bookmarkStart w:id="3" w:name="_Toc14085"/>
      <w:bookmarkStart w:id="4" w:name="_Toc851"/>
      <w:bookmarkStart w:id="5" w:name="_Toc31605"/>
      <w:bookmarkStart w:id="6" w:name="_Toc27784"/>
      <w:bookmarkStart w:id="7" w:name="_Toc24313"/>
      <w:bookmarkStart w:id="8" w:name="_Toc15802"/>
      <w:r>
        <w:rPr>
          <w:rFonts w:hint="eastAsia" w:ascii="华文中宋" w:hAnsi="华文中宋" w:eastAsia="华文中宋" w:cs="方正小标宋简体"/>
          <w:b/>
          <w:sz w:val="44"/>
          <w:szCs w:val="44"/>
        </w:rPr>
        <w:t>202</w:t>
      </w:r>
      <w:r>
        <w:rPr>
          <w:rFonts w:hint="eastAsia" w:ascii="华文中宋" w:hAnsi="华文中宋" w:eastAsia="华文中宋" w:cs="方正小标宋简体"/>
          <w:b/>
          <w:sz w:val="44"/>
          <w:szCs w:val="44"/>
          <w:lang w:val="en-US" w:eastAsia="zh-CN"/>
        </w:rPr>
        <w:t>1</w:t>
      </w:r>
      <w:r>
        <w:rPr>
          <w:rFonts w:hint="eastAsia" w:ascii="华文中宋" w:hAnsi="华文中宋" w:eastAsia="华文中宋" w:cs="方正小标宋简体"/>
          <w:b/>
          <w:sz w:val="44"/>
          <w:szCs w:val="44"/>
        </w:rPr>
        <w:t>年度项目支出自评报告</w:t>
      </w:r>
      <w:bookmarkEnd w:id="2"/>
      <w:bookmarkEnd w:id="3"/>
      <w:bookmarkEnd w:id="4"/>
      <w:bookmarkEnd w:id="5"/>
      <w:bookmarkEnd w:id="6"/>
      <w:bookmarkEnd w:id="7"/>
      <w:bookmarkEnd w:id="8"/>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为深入贯彻落实</w:t>
      </w:r>
      <w:r>
        <w:rPr>
          <w:rFonts w:ascii="仿宋_GB2312" w:eastAsia="仿宋_GB2312" w:cs="仿宋_GB2312"/>
          <w:sz w:val="32"/>
          <w:szCs w:val="32"/>
          <w:lang w:val="zh-CN"/>
        </w:rPr>
        <w:t>《中共</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委</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人民政府关于全面实施预算绩效管理的实施意见》</w:t>
      </w:r>
      <w:r>
        <w:rPr>
          <w:rFonts w:hint="eastAsia" w:ascii="仿宋_GB2312" w:eastAsia="仿宋_GB2312" w:cs="仿宋_GB2312"/>
          <w:sz w:val="32"/>
          <w:szCs w:val="32"/>
        </w:rPr>
        <w:t>有关要求，健全绩效评价常态化机制，强化部门预算绩效管理主体责任，提高财政资金使用效益。按照《</w:t>
      </w:r>
      <w:r>
        <w:rPr>
          <w:rFonts w:hint="eastAsia" w:ascii="仿宋_GB2312" w:eastAsia="仿宋_GB2312" w:cs="仿宋_GB2312"/>
          <w:sz w:val="32"/>
          <w:szCs w:val="32"/>
          <w:lang w:val="zh-CN"/>
        </w:rPr>
        <w:t>三门峡市</w:t>
      </w:r>
      <w:r>
        <w:rPr>
          <w:rFonts w:ascii="仿宋_GB2312" w:eastAsia="仿宋_GB2312" w:cs="仿宋_GB2312"/>
          <w:sz w:val="32"/>
          <w:szCs w:val="32"/>
          <w:lang w:val="zh-CN"/>
        </w:rPr>
        <w:t>财政局关于开展202</w:t>
      </w:r>
      <w:r>
        <w:rPr>
          <w:rFonts w:hint="eastAsia" w:ascii="仿宋_GB2312" w:eastAsia="仿宋_GB2312" w:cs="仿宋_GB2312"/>
          <w:sz w:val="32"/>
          <w:szCs w:val="32"/>
          <w:lang w:val="en-US" w:eastAsia="zh-CN"/>
        </w:rPr>
        <w:t>1</w:t>
      </w:r>
      <w:r>
        <w:rPr>
          <w:rFonts w:ascii="仿宋_GB2312" w:eastAsia="仿宋_GB2312" w:cs="仿宋_GB2312"/>
          <w:sz w:val="32"/>
          <w:szCs w:val="32"/>
          <w:lang w:val="zh-CN"/>
        </w:rPr>
        <w:t>年度市级预算绩效自评工作的通知</w:t>
      </w:r>
      <w:r>
        <w:rPr>
          <w:rFonts w:hint="eastAsia" w:ascii="仿宋_GB2312" w:eastAsia="仿宋_GB2312" w:cs="仿宋_GB2312"/>
          <w:sz w:val="32"/>
          <w:szCs w:val="32"/>
        </w:rPr>
        <w:t>》（</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）文件的相关要求，我科室高度重视，成立了绩效自评工作领导小组，通过基础资料收集、问卷调查、数据汇总分析等工作程序，对科室整体的情况进行全面了解，根据</w:t>
      </w:r>
      <w:r>
        <w:rPr>
          <w:rFonts w:ascii="仿宋_GB2312" w:eastAsia="仿宋_GB2312" w:cs="仿宋_GB2312"/>
          <w:sz w:val="32"/>
          <w:szCs w:val="32"/>
          <w:lang w:val="zh-CN"/>
        </w:rPr>
        <w:t>三财效〔202</w:t>
      </w:r>
      <w:r>
        <w:rPr>
          <w:rFonts w:hint="eastAsia" w:ascii="仿宋_GB2312" w:eastAsia="仿宋_GB2312" w:cs="仿宋_GB2312"/>
          <w:sz w:val="32"/>
          <w:szCs w:val="32"/>
          <w:lang w:val="en-US" w:eastAsia="zh-CN"/>
        </w:rPr>
        <w:t>2</w:t>
      </w:r>
      <w:r>
        <w:rPr>
          <w:rFonts w:ascii="仿宋_GB2312" w:eastAsia="仿宋_GB2312" w:cs="仿宋_GB2312"/>
          <w:sz w:val="32"/>
          <w:szCs w:val="32"/>
          <w:lang w:val="zh-CN"/>
        </w:rPr>
        <w:t>〕3号</w:t>
      </w:r>
      <w:r>
        <w:rPr>
          <w:rFonts w:hint="eastAsia" w:ascii="仿宋_GB2312" w:eastAsia="仿宋_GB2312" w:cs="仿宋_GB2312"/>
          <w:sz w:val="32"/>
          <w:szCs w:val="32"/>
        </w:rPr>
        <w:t>文件要求，形成如下绩效自评报告。现将有关情况报告如下：</w:t>
      </w:r>
    </w:p>
    <w:p>
      <w:pPr>
        <w:pStyle w:val="7"/>
        <w:keepNext w:val="0"/>
        <w:keepLines w:val="0"/>
        <w:spacing w:before="0" w:after="0" w:line="360" w:lineRule="auto"/>
        <w:rPr>
          <w:rFonts w:ascii="黑体" w:hAnsi="黑体" w:eastAsia="黑体" w:cs="黑体"/>
          <w:sz w:val="32"/>
          <w:szCs w:val="32"/>
        </w:rPr>
      </w:pPr>
      <w:bookmarkStart w:id="9" w:name="_Toc15017"/>
      <w:bookmarkStart w:id="10" w:name="_Toc13873"/>
      <w:bookmarkStart w:id="11" w:name="_Toc21579"/>
      <w:r>
        <w:rPr>
          <w:rFonts w:hint="eastAsia" w:ascii="黑体" w:hAnsi="黑体" w:eastAsia="黑体" w:cs="黑体"/>
          <w:sz w:val="32"/>
          <w:szCs w:val="32"/>
        </w:rPr>
        <w:t>一、项目支出基本情况</w:t>
      </w:r>
      <w:bookmarkEnd w:id="9"/>
      <w:bookmarkEnd w:id="10"/>
      <w:bookmarkEnd w:id="11"/>
    </w:p>
    <w:p>
      <w:pPr>
        <w:pStyle w:val="8"/>
        <w:keepNext w:val="0"/>
        <w:keepLines w:val="0"/>
        <w:adjustRightInd/>
        <w:snapToGrid/>
        <w:spacing w:before="0" w:after="0"/>
        <w:rPr>
          <w:rFonts w:ascii="黑体" w:hAnsi="黑体" w:eastAsia="黑体" w:cs="黑体"/>
          <w:sz w:val="30"/>
          <w:szCs w:val="30"/>
        </w:rPr>
      </w:pPr>
      <w:bookmarkStart w:id="12" w:name="_Toc30125"/>
      <w:bookmarkStart w:id="13" w:name="_Toc19332"/>
      <w:bookmarkStart w:id="14" w:name="_Toc1381"/>
      <w:r>
        <w:rPr>
          <w:rFonts w:hint="eastAsia" w:ascii="黑体" w:hAnsi="黑体" w:eastAsia="黑体" w:cs="黑体"/>
          <w:sz w:val="30"/>
          <w:szCs w:val="30"/>
        </w:rPr>
        <w:t>（一）项目</w:t>
      </w:r>
      <w:r>
        <w:rPr>
          <w:rFonts w:hint="eastAsia" w:ascii="黑体" w:hAnsi="黑体" w:eastAsia="黑体" w:cs="黑体"/>
        </w:rPr>
        <w:t>支出</w:t>
      </w:r>
      <w:r>
        <w:rPr>
          <w:rFonts w:hint="eastAsia" w:ascii="黑体" w:hAnsi="黑体" w:eastAsia="黑体" w:cs="黑体"/>
          <w:sz w:val="30"/>
          <w:szCs w:val="30"/>
        </w:rPr>
        <w:t>预算和执行情况</w:t>
      </w:r>
      <w:bookmarkEnd w:id="12"/>
      <w:bookmarkEnd w:id="13"/>
      <w:bookmarkEnd w:id="14"/>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三门峡市市场监督管理局</w:t>
      </w:r>
      <w:r>
        <w:rPr>
          <w:rFonts w:ascii="仿宋_GB2312" w:eastAsia="仿宋_GB2312" w:cs="仿宋_GB2312"/>
          <w:sz w:val="32"/>
          <w:szCs w:val="32"/>
          <w:lang w:val="zh-CN"/>
        </w:rPr>
        <w:t>主要职责</w:t>
      </w:r>
      <w:r>
        <w:rPr>
          <w:rFonts w:hint="eastAsia" w:ascii="仿宋_GB2312" w:eastAsia="仿宋_GB2312" w:cs="仿宋_GB2312"/>
          <w:sz w:val="32"/>
          <w:szCs w:val="32"/>
        </w:rPr>
        <w:t>为负责组织开展食品、特种设备、产品质量安全、反垄断、反不正当竞争、价格监督、网络交易监管、广告监管、知识产权保护、消费者权益保护等各类行政执法及相关检查、调查、宣传、培训等工作，加大市场监管综合执法力度，促进市场公平竞争，维护市场正常秩序，维护消费者利益和社会公共利益。</w:t>
      </w:r>
    </w:p>
    <w:p>
      <w:pPr>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年三门峡市监督抽检专项经费，年初预算数为预算为</w:t>
      </w:r>
      <w:r>
        <w:rPr>
          <w:rFonts w:hint="eastAsia" w:ascii="仿宋_GB2312" w:eastAsia="仿宋_GB2312" w:cs="仿宋_GB2312"/>
          <w:sz w:val="32"/>
          <w:szCs w:val="32"/>
          <w:lang w:val="en-US" w:eastAsia="zh-CN"/>
        </w:rPr>
        <w:t>90</w:t>
      </w:r>
      <w:r>
        <w:rPr>
          <w:rFonts w:hint="eastAsia" w:ascii="仿宋_GB2312" w:eastAsia="仿宋_GB2312" w:cs="仿宋_GB2312"/>
          <w:sz w:val="32"/>
          <w:szCs w:val="32"/>
        </w:rPr>
        <w:t>万元，全年财政拨款</w:t>
      </w:r>
      <w:r>
        <w:rPr>
          <w:rFonts w:hint="eastAsia" w:ascii="仿宋_GB2312" w:eastAsia="仿宋_GB2312" w:cs="仿宋_GB2312"/>
          <w:sz w:val="32"/>
          <w:szCs w:val="32"/>
          <w:lang w:val="en-US" w:eastAsia="zh-CN"/>
        </w:rPr>
        <w:t>90</w:t>
      </w:r>
      <w:r>
        <w:rPr>
          <w:rFonts w:hint="eastAsia" w:ascii="仿宋_GB2312" w:eastAsia="仿宋_GB2312" w:cs="仿宋_GB2312"/>
          <w:sz w:val="32"/>
          <w:szCs w:val="32"/>
        </w:rPr>
        <w:t>万元，全年项目实际支出</w:t>
      </w:r>
      <w:r>
        <w:rPr>
          <w:rFonts w:hint="eastAsia" w:ascii="仿宋_GB2312" w:eastAsia="仿宋_GB2312" w:cs="仿宋_GB2312"/>
          <w:sz w:val="32"/>
          <w:szCs w:val="32"/>
          <w:lang w:val="en-US" w:eastAsia="zh-CN"/>
        </w:rPr>
        <w:t>90</w:t>
      </w:r>
      <w:r>
        <w:rPr>
          <w:rFonts w:hint="eastAsia" w:ascii="仿宋_GB2312" w:eastAsia="仿宋_GB2312" w:cs="仿宋_GB2312"/>
          <w:sz w:val="32"/>
          <w:szCs w:val="32"/>
        </w:rPr>
        <w:t>万元，预算执行率100%</w:t>
      </w:r>
    </w:p>
    <w:p>
      <w:pPr>
        <w:pStyle w:val="8"/>
        <w:keepNext w:val="0"/>
        <w:keepLines w:val="0"/>
        <w:adjustRightInd/>
        <w:snapToGrid/>
        <w:spacing w:before="0" w:after="0"/>
        <w:rPr>
          <w:rFonts w:ascii="黑体" w:hAnsi="黑体" w:eastAsia="黑体" w:cs="黑体"/>
          <w:sz w:val="30"/>
          <w:szCs w:val="30"/>
        </w:rPr>
      </w:pPr>
      <w:bookmarkStart w:id="15" w:name="_Toc843"/>
      <w:bookmarkStart w:id="16" w:name="_Toc839"/>
      <w:bookmarkStart w:id="17" w:name="_Toc23046"/>
      <w:r>
        <w:rPr>
          <w:rFonts w:hint="eastAsia" w:ascii="黑体" w:hAnsi="黑体" w:eastAsia="黑体" w:cs="黑体"/>
          <w:sz w:val="30"/>
          <w:szCs w:val="30"/>
        </w:rPr>
        <w:t>（二）项目内容</w:t>
      </w:r>
      <w:bookmarkEnd w:id="15"/>
      <w:bookmarkEnd w:id="16"/>
      <w:bookmarkEnd w:id="17"/>
    </w:p>
    <w:p>
      <w:pPr>
        <w:keepNext w:val="0"/>
        <w:keepLines w:val="0"/>
        <w:pageBreakBefore w:val="0"/>
        <w:widowControl w:val="0"/>
        <w:kinsoku/>
        <w:wordWrap/>
        <w:overflowPunct/>
        <w:topLinePunct w:val="0"/>
        <w:autoSpaceDE/>
        <w:autoSpaceDN/>
        <w:bidi w:val="0"/>
        <w:adjustRightInd w:val="0"/>
        <w:snapToGrid w:val="0"/>
        <w:spacing w:before="157" w:beforeLines="50" w:after="0" w:line="600" w:lineRule="exact"/>
        <w:ind w:firstLine="640" w:firstLineChars="200"/>
        <w:jc w:val="both"/>
        <w:textAlignment w:val="auto"/>
        <w:outlineLvl w:val="9"/>
        <w:rPr>
          <w:rFonts w:hint="eastAsia" w:ascii="文星仿宋" w:hAnsi="文星仿宋" w:eastAsia="文星仿宋" w:cs="文星仿宋"/>
          <w:color w:val="000000"/>
          <w:sz w:val="32"/>
          <w:szCs w:val="32"/>
          <w:lang w:val="en-US" w:eastAsia="zh-CN"/>
        </w:rPr>
      </w:pPr>
      <w:bookmarkStart w:id="18" w:name="_Toc18257"/>
      <w:bookmarkStart w:id="19" w:name="_Toc23203"/>
      <w:r>
        <w:rPr>
          <w:rFonts w:hint="eastAsia" w:ascii="仿宋_GB2312" w:hAnsi="仿宋_GB2312" w:eastAsia="仿宋_GB2312" w:cs="仿宋_GB2312"/>
          <w:color w:val="000000"/>
          <w:sz w:val="32"/>
          <w:szCs w:val="32"/>
          <w:lang w:val="en-US" w:eastAsia="zh-CN"/>
        </w:rPr>
        <w:t>2021年以来，</w:t>
      </w:r>
      <w:r>
        <w:rPr>
          <w:rFonts w:hint="eastAsia" w:ascii="仿宋_GB2312" w:hAnsi="仿宋_GB2312" w:eastAsia="仿宋_GB2312" w:cs="仿宋_GB2312"/>
          <w:sz w:val="32"/>
          <w:szCs w:val="32"/>
          <w:lang w:val="en-US" w:eastAsia="zh-CN"/>
        </w:rPr>
        <w:t>全年</w:t>
      </w:r>
      <w:r>
        <w:rPr>
          <w:rFonts w:hint="eastAsia" w:ascii="仿宋_GB2312" w:hAnsi="仿宋_GB2312" w:eastAsia="仿宋_GB2312" w:cs="仿宋_GB2312"/>
          <w:color w:val="000000"/>
          <w:sz w:val="32"/>
          <w:szCs w:val="32"/>
          <w:lang w:eastAsia="zh-CN"/>
        </w:rPr>
        <w:t>累计组织协调各类</w:t>
      </w:r>
      <w:r>
        <w:rPr>
          <w:rFonts w:hint="eastAsia" w:ascii="仿宋_GB2312" w:hAnsi="仿宋_GB2312" w:eastAsia="仿宋_GB2312" w:cs="仿宋_GB2312"/>
          <w:color w:val="000000"/>
          <w:sz w:val="32"/>
          <w:szCs w:val="32"/>
          <w:lang w:val="en-US" w:eastAsia="zh-CN"/>
        </w:rPr>
        <w:t>食品抽检8407批次，占</w:t>
      </w:r>
      <w:r>
        <w:rPr>
          <w:rFonts w:hint="eastAsia" w:ascii="仿宋_GB2312" w:hAnsi="仿宋_GB2312" w:eastAsia="仿宋_GB2312" w:cs="仿宋_GB2312"/>
          <w:bCs/>
          <w:color w:val="000000"/>
          <w:sz w:val="32"/>
          <w:szCs w:val="32"/>
          <w:shd w:val="clear" w:color="auto" w:fill="FFFFFF"/>
          <w:lang w:val="en-US" w:eastAsia="zh-CN"/>
        </w:rPr>
        <w:t>全年抽检任务的106.9%，</w:t>
      </w:r>
      <w:r>
        <w:rPr>
          <w:rFonts w:hint="eastAsia" w:ascii="仿宋_GB2312" w:hAnsi="仿宋_GB2312" w:eastAsia="仿宋_GB2312" w:cs="仿宋_GB2312"/>
          <w:sz w:val="32"/>
          <w:szCs w:val="32"/>
          <w:lang w:val="en-US" w:eastAsia="zh-CN"/>
        </w:rPr>
        <w:t>重点食品抽检覆盖率100%。</w:t>
      </w:r>
      <w:r>
        <w:rPr>
          <w:rFonts w:hint="eastAsia" w:ascii="仿宋_GB2312" w:hAnsi="仿宋_GB2312" w:eastAsia="仿宋_GB2312" w:cs="仿宋_GB2312"/>
          <w:color w:val="000000"/>
          <w:sz w:val="32"/>
          <w:szCs w:val="32"/>
          <w:lang w:val="en-US" w:eastAsia="zh-CN"/>
        </w:rPr>
        <w:t>其中配合省局组织开展国抽、省抽食品1950批次，市、县</w:t>
      </w:r>
      <w:r>
        <w:rPr>
          <w:rFonts w:hint="eastAsia" w:ascii="仿宋_GB2312" w:hAnsi="仿宋_GB2312" w:eastAsia="仿宋_GB2312" w:cs="仿宋_GB2312"/>
          <w:bCs/>
          <w:color w:val="000000"/>
          <w:sz w:val="32"/>
          <w:szCs w:val="32"/>
          <w:shd w:val="clear" w:color="auto" w:fill="FFFFFF"/>
          <w:lang w:val="en-US" w:eastAsia="zh-CN"/>
        </w:rPr>
        <w:t>组织食品抽检6609批次，其中市本级达到1400批次，圆满完成各项食品抽检任务。</w:t>
      </w:r>
      <w:r>
        <w:rPr>
          <w:rFonts w:hint="eastAsia" w:ascii="仿宋_GB2312" w:hAnsi="仿宋_GB2312" w:eastAsia="仿宋_GB2312" w:cs="仿宋_GB2312"/>
          <w:color w:val="000000"/>
          <w:sz w:val="32"/>
          <w:szCs w:val="32"/>
          <w:lang w:val="en-US" w:eastAsia="zh-CN"/>
        </w:rPr>
        <w:t>今年全市累计核查处置各级抽检不合格食品174批，其中国抽、省抽不合格食品处理完成率100%，累计发布食品安全抽检信息24期，有效震慑和打击了食品生产经营单位违法违规行为</w:t>
      </w:r>
      <w:r>
        <w:rPr>
          <w:rFonts w:hint="eastAsia" w:ascii="仿宋_GB2312" w:hAnsi="仿宋_GB2312" w:eastAsia="仿宋_GB2312" w:cs="仿宋_GB2312"/>
          <w:bCs/>
          <w:color w:val="000000"/>
          <w:sz w:val="32"/>
          <w:szCs w:val="32"/>
          <w:shd w:val="clear" w:color="auto" w:fill="FFFFFF"/>
          <w:lang w:val="en-US" w:eastAsia="zh-CN"/>
        </w:rPr>
        <w:t>。</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outlineLvl w:val="9"/>
        <w:rPr>
          <w:rFonts w:ascii="仿宋_GB2312" w:eastAsia="仿宋_GB2312" w:cs="仿宋_GB2312"/>
          <w:sz w:val="32"/>
          <w:szCs w:val="32"/>
        </w:rPr>
      </w:pPr>
      <w:r>
        <w:rPr>
          <w:rFonts w:hint="eastAsia" w:ascii="Times New Roman" w:hAnsi="Times New Roman" w:eastAsia="仿宋_GB2312" w:cs="Times New Roman"/>
          <w:sz w:val="32"/>
          <w:szCs w:val="32"/>
          <w:lang w:val="en-US" w:eastAsia="zh-CN"/>
        </w:rPr>
        <w:t>按照相关工作精神，消保科将党委、政府关心，群众、媒体关注，消费者反映较多、涉及人身财产安全的消防及相关产品、儿童和学生用品作为2021年监督抽查重点，共抽检消防产品6个批次，消防相关产品28个批次，儿童和学生用品12个批次，共计抽检各类产品46个批次。</w:t>
      </w:r>
    </w:p>
    <w:p>
      <w:pPr>
        <w:pStyle w:val="8"/>
        <w:keepNext w:val="0"/>
        <w:keepLines w:val="0"/>
        <w:adjustRightInd/>
        <w:snapToGrid/>
        <w:spacing w:before="0" w:after="0"/>
        <w:rPr>
          <w:rFonts w:ascii="黑体" w:hAnsi="黑体" w:eastAsia="黑体" w:cs="黑体"/>
          <w:sz w:val="30"/>
          <w:szCs w:val="30"/>
        </w:rPr>
      </w:pPr>
      <w:bookmarkStart w:id="20" w:name="_Toc12012"/>
      <w:r>
        <w:rPr>
          <w:rFonts w:hint="eastAsia" w:ascii="黑体" w:hAnsi="黑体" w:eastAsia="黑体" w:cs="黑体"/>
          <w:sz w:val="30"/>
          <w:szCs w:val="30"/>
        </w:rPr>
        <w:t>（三）绩效目标批复情况</w:t>
      </w:r>
      <w:bookmarkEnd w:id="18"/>
      <w:bookmarkEnd w:id="19"/>
      <w:bookmarkEnd w:id="20"/>
    </w:p>
    <w:p>
      <w:pPr>
        <w:spacing w:line="360" w:lineRule="auto"/>
        <w:ind w:firstLine="640" w:firstLineChars="200"/>
        <w:rPr>
          <w:rFonts w:ascii="仿宋_GB2312" w:hAnsi="仿宋_GB2312" w:eastAsia="仿宋_GB2312" w:cs="仿宋_GB2312"/>
          <w:sz w:val="32"/>
          <w:szCs w:val="32"/>
        </w:rPr>
      </w:pPr>
      <w:r>
        <w:rPr>
          <w:rFonts w:hint="eastAsia" w:ascii="仿宋_GB2312" w:eastAsia="仿宋_GB2312" w:cs="仿宋_GB2312"/>
          <w:sz w:val="32"/>
          <w:szCs w:val="32"/>
        </w:rPr>
        <w:t>我科室根据历史依据和当年目标任务编制202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项目预算，并结合项目实际情况，按照“谁批复预算，谁批复目标”的原则，编报项目绩效目标申报表。提交市局审核汇总，上报三门峡市财政局审批，三门峡市财政局在市人代会批准部门年度预算后，将绩效目标随部门预算批复部门；部门将批复的绩效目标按预算管理级次细化批复至我科室，并</w:t>
      </w:r>
      <w:r>
        <w:rPr>
          <w:rFonts w:hint="eastAsia" w:ascii="仿宋_GB2312" w:hAnsi="仿宋_GB2312" w:eastAsia="仿宋_GB2312" w:cs="仿宋_GB2312"/>
          <w:sz w:val="32"/>
          <w:szCs w:val="32"/>
        </w:rPr>
        <w:t>提出绩效管理具体工作要求。</w:t>
      </w:r>
    </w:p>
    <w:p>
      <w:pPr>
        <w:pStyle w:val="7"/>
        <w:keepNext w:val="0"/>
        <w:keepLines w:val="0"/>
        <w:spacing w:before="0" w:after="0" w:line="360" w:lineRule="auto"/>
        <w:rPr>
          <w:rFonts w:ascii="黑体" w:hAnsi="黑体" w:eastAsia="黑体" w:cs="黑体"/>
          <w:sz w:val="32"/>
          <w:szCs w:val="32"/>
        </w:rPr>
      </w:pPr>
      <w:bookmarkStart w:id="21" w:name="_Toc31315"/>
      <w:bookmarkStart w:id="22" w:name="_Toc22554"/>
      <w:bookmarkStart w:id="23" w:name="_Toc26306"/>
      <w:r>
        <w:rPr>
          <w:rFonts w:hint="eastAsia" w:ascii="黑体" w:hAnsi="黑体" w:eastAsia="黑体" w:cs="黑体"/>
          <w:sz w:val="32"/>
          <w:szCs w:val="32"/>
        </w:rPr>
        <w:t>二、单位</w:t>
      </w:r>
      <w:r>
        <w:rPr>
          <w:rFonts w:ascii="黑体" w:hAnsi="黑体" w:eastAsia="黑体" w:cs="黑体"/>
          <w:sz w:val="32"/>
          <w:szCs w:val="32"/>
        </w:rPr>
        <w:t>自评工作开展情况</w:t>
      </w:r>
      <w:bookmarkEnd w:id="21"/>
      <w:bookmarkEnd w:id="22"/>
      <w:bookmarkEnd w:id="23"/>
    </w:p>
    <w:p>
      <w:pPr>
        <w:pStyle w:val="8"/>
        <w:keepNext w:val="0"/>
        <w:keepLines w:val="0"/>
        <w:adjustRightInd/>
        <w:snapToGrid/>
        <w:spacing w:before="0" w:after="0"/>
        <w:rPr>
          <w:rFonts w:ascii="黑体" w:hAnsi="黑体" w:eastAsia="黑体" w:cs="黑体"/>
          <w:sz w:val="30"/>
          <w:szCs w:val="30"/>
        </w:rPr>
      </w:pPr>
      <w:bookmarkStart w:id="24" w:name="_Toc7132"/>
      <w:bookmarkStart w:id="25" w:name="_Toc12595"/>
      <w:bookmarkStart w:id="26" w:name="_Toc31583"/>
      <w:bookmarkStart w:id="27" w:name="_Toc8544"/>
      <w:bookmarkStart w:id="28" w:name="_Toc25866"/>
      <w:r>
        <w:rPr>
          <w:rFonts w:hint="eastAsia" w:ascii="黑体" w:hAnsi="黑体" w:eastAsia="黑体" w:cs="黑体"/>
          <w:sz w:val="30"/>
          <w:szCs w:val="30"/>
        </w:rPr>
        <w:t>（一）绩效自评目的和意义</w:t>
      </w:r>
      <w:bookmarkEnd w:id="24"/>
      <w:bookmarkEnd w:id="25"/>
      <w:bookmarkEnd w:id="26"/>
      <w:bookmarkEnd w:id="27"/>
      <w:bookmarkEnd w:id="28"/>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预算支出绩效自评是预算单位运用科学、规范的评价方法，对照统一的评价标准，对预算支出的效率和效益进行的自我衡量和综合评价。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预算支出绩效自评的目的是：通过对绩效目标的综合考评，合理配置资源，优化支出结构，规范预算资金分配，提高财政资源配置效率和使用效益。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推进预算支出绩效自评的意义是：加强部门及项目预算管理，有利于建设高效透明政府，有利于深化政府管理体制改革。从政府部门管理层面来看，可促进预算单位预算管理的科学性和合理性；从财政部门资金监管层面来看，可深入了解资金投向的明确性和准确性，提高资金使用效率；从项目实施单位来看，可以进一步规范资金使用，提升项目实施效果。</w:t>
      </w:r>
    </w:p>
    <w:p>
      <w:pPr>
        <w:pStyle w:val="8"/>
        <w:keepNext w:val="0"/>
        <w:keepLines w:val="0"/>
        <w:adjustRightInd/>
        <w:snapToGrid/>
        <w:spacing w:before="0" w:after="0"/>
        <w:rPr>
          <w:rFonts w:ascii="黑体" w:hAnsi="黑体" w:eastAsia="黑体" w:cs="黑体"/>
          <w:sz w:val="30"/>
          <w:szCs w:val="30"/>
        </w:rPr>
      </w:pPr>
      <w:bookmarkStart w:id="29" w:name="_Toc26818"/>
      <w:bookmarkStart w:id="30" w:name="_Toc4202"/>
      <w:bookmarkStart w:id="31" w:name="_Toc21569"/>
      <w:bookmarkStart w:id="32" w:name="_Toc9139"/>
      <w:bookmarkStart w:id="33" w:name="_Toc11744"/>
      <w:r>
        <w:rPr>
          <w:rFonts w:hint="eastAsia" w:ascii="黑体" w:hAnsi="黑体" w:eastAsia="黑体" w:cs="黑体"/>
          <w:sz w:val="30"/>
          <w:szCs w:val="30"/>
        </w:rPr>
        <w:t>（二）绩效自评对象和范围</w:t>
      </w:r>
      <w:bookmarkEnd w:id="29"/>
      <w:bookmarkEnd w:id="30"/>
      <w:bookmarkEnd w:id="31"/>
      <w:bookmarkEnd w:id="32"/>
      <w:bookmarkEnd w:id="33"/>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本次绩效自评对象为三门峡市市场监督管理局抽检检测科，202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年实施市场监督抽检检测经费的费用支出，涉及资金</w:t>
      </w:r>
      <w:r>
        <w:rPr>
          <w:rFonts w:hint="eastAsia" w:ascii="仿宋_GB2312" w:eastAsia="仿宋_GB2312" w:cs="仿宋_GB2312"/>
          <w:sz w:val="32"/>
          <w:szCs w:val="32"/>
          <w:lang w:val="en-US" w:eastAsia="zh-CN"/>
        </w:rPr>
        <w:t>90</w:t>
      </w:r>
      <w:r>
        <w:rPr>
          <w:rFonts w:ascii="仿宋_GB2312" w:eastAsia="仿宋_GB2312" w:cs="仿宋_GB2312"/>
          <w:sz w:val="32"/>
          <w:szCs w:val="32"/>
        </w:rPr>
        <w:t>万元</w:t>
      </w:r>
      <w:r>
        <w:rPr>
          <w:rFonts w:hint="eastAsia" w:ascii="仿宋_GB2312" w:eastAsia="仿宋_GB2312" w:cs="仿宋_GB2312"/>
          <w:sz w:val="32"/>
          <w:szCs w:val="32"/>
        </w:rPr>
        <w:t>，评价范围为涉及该项目管理及其预算资金使用绩效的相关情况。</w:t>
      </w:r>
    </w:p>
    <w:p>
      <w:pPr>
        <w:pStyle w:val="8"/>
        <w:keepNext w:val="0"/>
        <w:keepLines w:val="0"/>
        <w:adjustRightInd/>
        <w:snapToGrid/>
        <w:spacing w:before="0" w:after="0"/>
        <w:rPr>
          <w:rFonts w:ascii="黑体" w:hAnsi="黑体" w:eastAsia="黑体" w:cs="黑体"/>
          <w:sz w:val="30"/>
          <w:szCs w:val="30"/>
        </w:rPr>
      </w:pPr>
      <w:bookmarkStart w:id="34" w:name="_Toc21596"/>
      <w:bookmarkStart w:id="35" w:name="_Toc23494"/>
      <w:bookmarkStart w:id="36" w:name="_Toc17710"/>
      <w:bookmarkStart w:id="37" w:name="_Toc20074"/>
      <w:bookmarkStart w:id="38" w:name="_Toc31552"/>
      <w:r>
        <w:rPr>
          <w:rFonts w:hint="eastAsia" w:ascii="黑体" w:hAnsi="黑体" w:eastAsia="黑体" w:cs="黑体"/>
          <w:sz w:val="30"/>
          <w:szCs w:val="30"/>
        </w:rPr>
        <w:t>（三）绩效评价的依据</w:t>
      </w:r>
      <w:bookmarkEnd w:id="34"/>
      <w:bookmarkEnd w:id="35"/>
      <w:bookmarkEnd w:id="36"/>
      <w:bookmarkEnd w:id="37"/>
      <w:bookmarkEnd w:id="38"/>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1.中共中央、国务院《关于全面实施预算绩效管理的意见》（中发〔2018〕34号）；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2.《项目支出绩效评价管理办法》（财预[2020]10号）；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3.《中共河南省委 河南省人民政府关于全面实施预算绩效管理的实施意见》（豫发〔2019〕10号）；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4.河南省财政厅关于印发《河南省省级预算项目支出绩效评价管理办法》的通知（豫财效〔2020〕10号）；</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lang w:val="zh-CN"/>
        </w:rPr>
        <w:t>《中共</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委</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人民政府关于全面实施预算绩效管理的实施意见》（三发〔2020</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14号）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bookmarkStart w:id="39" w:name="_Toc15060"/>
      <w:bookmarkStart w:id="40" w:name="_Toc2346"/>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7.与本次自评相关的其他资料。</w:t>
      </w:r>
    </w:p>
    <w:p>
      <w:pPr>
        <w:pStyle w:val="8"/>
        <w:keepNext w:val="0"/>
        <w:keepLines w:val="0"/>
        <w:adjustRightInd/>
        <w:snapToGrid/>
        <w:spacing w:before="0" w:after="0"/>
        <w:rPr>
          <w:rFonts w:ascii="黑体" w:hAnsi="黑体" w:eastAsia="黑体" w:cs="黑体"/>
          <w:sz w:val="30"/>
          <w:szCs w:val="30"/>
        </w:rPr>
      </w:pPr>
      <w:bookmarkStart w:id="41" w:name="_Toc18992"/>
      <w:bookmarkStart w:id="42" w:name="_Toc1796"/>
      <w:bookmarkStart w:id="43" w:name="_Toc23997"/>
      <w:r>
        <w:rPr>
          <w:rFonts w:hint="eastAsia" w:ascii="黑体" w:hAnsi="黑体" w:eastAsia="黑体" w:cs="黑体"/>
          <w:sz w:val="30"/>
          <w:szCs w:val="30"/>
        </w:rPr>
        <w:t>（四）评分方法</w:t>
      </w:r>
      <w:bookmarkEnd w:id="39"/>
      <w:bookmarkEnd w:id="40"/>
      <w:bookmarkEnd w:id="41"/>
      <w:bookmarkEnd w:id="42"/>
      <w:bookmarkEnd w:id="43"/>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根据财政部《项目支出绩效评价管理办法》（财预〔2020〕10 号）第十六条的相关要求：</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“单位自评采用定量与定性评价相结合的比较法，总分由各项指标得分汇总形成。</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量指标得分按照以下方法评定：与年初指标值相比，完成指标值的，计该指标所赋全部分值；对完成值高于指标值较多的，要分析原因，如果是由于年初指标值设定明显偏低造成的，要按照偏离度适度调减分值；未完成指标值的，按照完成值与指标值的比例计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定性指标得分按照以下方法评定：根据指标完成情况分为达成年度指标、部分达成年度指标并具有一定效果、未达成年度指标且效果较差三档，分别按照该指标对应分值区间100%—80%（含）、80%—60%（含）、60%—0%合理确定分值。”</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val="zh-CN"/>
        </w:rPr>
        <w:t>三门峡市</w:t>
      </w:r>
      <w:r>
        <w:rPr>
          <w:rFonts w:ascii="仿宋_GB2312" w:hAnsi="仿宋_GB2312" w:eastAsia="仿宋_GB2312" w:cs="仿宋_GB2312"/>
          <w:sz w:val="32"/>
          <w:szCs w:val="32"/>
          <w:lang w:val="zh-CN"/>
        </w:rPr>
        <w:t>财政局关于开展202</w:t>
      </w:r>
      <w:r>
        <w:rPr>
          <w:rFonts w:hint="eastAsia" w:ascii="仿宋_GB2312" w:hAnsi="仿宋_GB2312" w:eastAsia="仿宋_GB2312" w:cs="仿宋_GB2312"/>
          <w:sz w:val="32"/>
          <w:szCs w:val="32"/>
          <w:lang w:val="en-US" w:eastAsia="zh-CN"/>
        </w:rPr>
        <w:t>1</w:t>
      </w:r>
      <w:r>
        <w:rPr>
          <w:rFonts w:ascii="仿宋_GB2312" w:hAnsi="仿宋_GB2312" w:eastAsia="仿宋_GB2312" w:cs="仿宋_GB2312"/>
          <w:sz w:val="32"/>
          <w:szCs w:val="32"/>
          <w:lang w:val="zh-CN"/>
        </w:rPr>
        <w:t>年度市级预算绩效自评工作的通知</w:t>
      </w:r>
      <w:r>
        <w:rPr>
          <w:rFonts w:hint="eastAsia" w:ascii="仿宋_GB2312" w:hAnsi="仿宋_GB2312" w:eastAsia="仿宋_GB2312" w:cs="仿宋_GB2312"/>
          <w:sz w:val="32"/>
          <w:szCs w:val="32"/>
        </w:rPr>
        <w:t>》（</w:t>
      </w:r>
      <w:r>
        <w:rPr>
          <w:rFonts w:ascii="仿宋_GB2312" w:hAnsi="仿宋_GB2312" w:eastAsia="仿宋_GB2312" w:cs="仿宋_GB2312"/>
          <w:sz w:val="32"/>
          <w:szCs w:val="32"/>
          <w:lang w:val="zh-CN"/>
        </w:rPr>
        <w:t>三财效〔202</w:t>
      </w:r>
      <w:r>
        <w:rPr>
          <w:rFonts w:hint="eastAsia" w:ascii="仿宋_GB2312" w:hAnsi="仿宋_GB2312" w:eastAsia="仿宋_GB2312" w:cs="仿宋_GB2312"/>
          <w:sz w:val="32"/>
          <w:szCs w:val="32"/>
          <w:lang w:val="en-US" w:eastAsia="zh-CN"/>
        </w:rPr>
        <w:t>2</w:t>
      </w:r>
      <w:r>
        <w:rPr>
          <w:rFonts w:ascii="仿宋_GB2312" w:hAnsi="仿宋_GB2312" w:eastAsia="仿宋_GB2312" w:cs="仿宋_GB2312"/>
          <w:sz w:val="32"/>
          <w:szCs w:val="32"/>
          <w:lang w:val="zh-CN"/>
        </w:rPr>
        <w:t>〕3号</w:t>
      </w:r>
      <w:r>
        <w:rPr>
          <w:rFonts w:hint="eastAsia" w:ascii="仿宋_GB2312" w:hAnsi="仿宋_GB2312" w:eastAsia="仿宋_GB2312" w:cs="仿宋_GB2312"/>
          <w:sz w:val="32"/>
          <w:szCs w:val="32"/>
        </w:rPr>
        <w:t>）相关要求：“</w:t>
      </w:r>
      <w:r>
        <w:rPr>
          <w:rFonts w:ascii="仿宋_GB2312" w:hAnsi="仿宋_GB2312" w:eastAsia="仿宋_GB2312" w:cs="仿宋_GB2312"/>
          <w:sz w:val="32"/>
          <w:szCs w:val="32"/>
          <w:lang w:val="zh-CN"/>
        </w:rPr>
        <w:t>绩效自评采取打分评价的形式，满分为100分，项目单位自评原则上一级指标分值统一设置为：产出指标50分、效益指标30分、服务对象满意度10分、预算资金执行率10分。</w:t>
      </w:r>
      <w:r>
        <w:rPr>
          <w:rFonts w:hint="eastAsia" w:ascii="仿宋_GB2312" w:hAnsi="仿宋_GB2312" w:eastAsia="仿宋_GB2312" w:cs="仿宋_GB2312"/>
          <w:sz w:val="32"/>
          <w:szCs w:val="32"/>
        </w:rPr>
        <w:t>”指标权重可根据指标的重要程度自主确定各项三级指标的权重分值，各项指标得分加总得出自评的总分。</w:t>
      </w:r>
    </w:p>
    <w:p>
      <w:pPr>
        <w:pStyle w:val="8"/>
        <w:keepNext w:val="0"/>
        <w:keepLines w:val="0"/>
        <w:adjustRightInd/>
        <w:snapToGrid/>
        <w:spacing w:before="0" w:after="0"/>
        <w:rPr>
          <w:rFonts w:ascii="黑体" w:hAnsi="黑体" w:eastAsia="黑体" w:cs="黑体"/>
          <w:sz w:val="30"/>
          <w:szCs w:val="30"/>
        </w:rPr>
      </w:pPr>
      <w:bookmarkStart w:id="44" w:name="_Toc16101"/>
      <w:bookmarkStart w:id="45" w:name="_Toc10949"/>
      <w:bookmarkStart w:id="46" w:name="_Toc18185"/>
      <w:bookmarkStart w:id="47" w:name="_Toc7828"/>
      <w:bookmarkStart w:id="48" w:name="_Toc15508"/>
      <w:r>
        <w:rPr>
          <w:rFonts w:hint="eastAsia" w:ascii="黑体" w:hAnsi="黑体" w:eastAsia="黑体" w:cs="黑体"/>
          <w:sz w:val="30"/>
          <w:szCs w:val="30"/>
        </w:rPr>
        <w:t>（五）绩效自评工作组织</w:t>
      </w:r>
      <w:bookmarkEnd w:id="44"/>
      <w:bookmarkEnd w:id="45"/>
      <w:bookmarkEnd w:id="46"/>
      <w:bookmarkEnd w:id="47"/>
      <w:bookmarkEnd w:id="48"/>
    </w:p>
    <w:p>
      <w:pPr>
        <w:widowControl/>
        <w:shd w:val="clear" w:color="auto" w:fill="FFFFFF"/>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我科室依据《三门峡市财政局关于开展202</w:t>
      </w:r>
      <w:r>
        <w:rPr>
          <w:rFonts w:hint="eastAsia" w:ascii="仿宋_GB2312" w:eastAsia="仿宋_GB2312" w:cs="仿宋_GB2312"/>
          <w:sz w:val="32"/>
          <w:szCs w:val="32"/>
          <w:lang w:val="en-US" w:eastAsia="zh-CN"/>
        </w:rPr>
        <w:t>1</w:t>
      </w:r>
      <w:r>
        <w:rPr>
          <w:rFonts w:hint="eastAsia" w:ascii="仿宋_GB2312" w:eastAsia="仿宋_GB2312" w:cs="仿宋_GB2312"/>
          <w:sz w:val="32"/>
          <w:szCs w:val="32"/>
        </w:rPr>
        <w:t>年度市级预算绩效自评工作的通知》（三财效〔202</w:t>
      </w: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〕3号）相关要求，由</w:t>
      </w:r>
      <w:r>
        <w:rPr>
          <w:rFonts w:hint="eastAsia" w:ascii="仿宋_GB2312" w:eastAsia="仿宋_GB2312" w:cs="仿宋_GB2312"/>
          <w:sz w:val="32"/>
          <w:szCs w:val="32"/>
          <w:lang w:eastAsia="zh-CN"/>
        </w:rPr>
        <w:t>各业务科室</w:t>
      </w:r>
      <w:r>
        <w:rPr>
          <w:rFonts w:hint="eastAsia" w:ascii="仿宋_GB2312" w:eastAsia="仿宋_GB2312" w:cs="仿宋_GB2312"/>
          <w:sz w:val="32"/>
          <w:szCs w:val="32"/>
        </w:rPr>
        <w:t>根据具体项目进行自评。</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rPr>
        <w:t>主要工作内容有：</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1.召开自评会议，进行自评工作的统一部署并组织项目相关成员进行必要的政策法规学习；</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.组织有效的调查研究、查阅相关资料；</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.根据获取的资料，依照《项目支出绩效自评表》进行合理打分；</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.综合上述工作成果，撰写项目自评报告；</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.完成项目绩效评价相关政策所要求的其他事项；</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.发现问题，并落实整改。</w:t>
      </w:r>
    </w:p>
    <w:p>
      <w:pPr>
        <w:pStyle w:val="7"/>
        <w:keepNext w:val="0"/>
        <w:keepLines w:val="0"/>
        <w:spacing w:before="0" w:after="0" w:line="360" w:lineRule="auto"/>
        <w:rPr>
          <w:rFonts w:ascii="黑体" w:hAnsi="黑体" w:eastAsia="黑体" w:cs="黑体"/>
          <w:sz w:val="32"/>
          <w:szCs w:val="32"/>
          <w:lang w:val="zh-CN"/>
        </w:rPr>
      </w:pPr>
      <w:bookmarkStart w:id="49" w:name="_Toc16"/>
      <w:bookmarkStart w:id="50" w:name="_Toc2106"/>
      <w:bookmarkStart w:id="51" w:name="_Toc17646"/>
      <w:bookmarkStart w:id="52" w:name="_Toc5171"/>
      <w:bookmarkStart w:id="53" w:name="_Toc12278"/>
      <w:r>
        <w:rPr>
          <w:rFonts w:hint="eastAsia" w:ascii="黑体" w:hAnsi="黑体" w:eastAsia="黑体" w:cs="黑体"/>
          <w:sz w:val="32"/>
          <w:szCs w:val="32"/>
        </w:rPr>
        <w:t>三、</w:t>
      </w:r>
      <w:r>
        <w:rPr>
          <w:rFonts w:hint="eastAsia" w:ascii="黑体" w:hAnsi="黑体" w:eastAsia="黑体" w:cs="黑体"/>
          <w:sz w:val="32"/>
          <w:szCs w:val="32"/>
          <w:lang w:val="zh-CN"/>
        </w:rPr>
        <w:t>科室</w:t>
      </w:r>
      <w:r>
        <w:rPr>
          <w:rFonts w:ascii="黑体" w:hAnsi="黑体" w:eastAsia="黑体" w:cs="黑体"/>
          <w:sz w:val="32"/>
          <w:szCs w:val="32"/>
          <w:lang w:val="zh-CN"/>
        </w:rPr>
        <w:t>自评结果及分析</w:t>
      </w:r>
      <w:bookmarkEnd w:id="49"/>
      <w:bookmarkEnd w:id="50"/>
      <w:bookmarkEnd w:id="51"/>
      <w:bookmarkEnd w:id="52"/>
      <w:bookmarkEnd w:id="53"/>
    </w:p>
    <w:p>
      <w:pPr>
        <w:pStyle w:val="8"/>
        <w:keepNext w:val="0"/>
        <w:keepLines w:val="0"/>
        <w:adjustRightInd/>
        <w:snapToGrid/>
        <w:spacing w:before="0" w:after="0"/>
        <w:rPr>
          <w:rFonts w:ascii="黑体" w:hAnsi="黑体" w:eastAsia="黑体" w:cs="黑体"/>
          <w:sz w:val="30"/>
          <w:szCs w:val="30"/>
          <w:lang w:val="zh-CN"/>
        </w:rPr>
      </w:pPr>
      <w:bookmarkStart w:id="54" w:name="_Toc8066"/>
      <w:bookmarkStart w:id="55" w:name="_Toc22338"/>
      <w:bookmarkStart w:id="56" w:name="_Toc32649"/>
      <w:r>
        <w:rPr>
          <w:rFonts w:ascii="黑体" w:hAnsi="黑体" w:eastAsia="黑体" w:cs="黑体"/>
          <w:sz w:val="30"/>
          <w:szCs w:val="30"/>
          <w:lang w:val="zh-CN"/>
        </w:rPr>
        <w:t>（一）自评结果</w:t>
      </w:r>
      <w:bookmarkEnd w:id="54"/>
      <w:bookmarkEnd w:id="55"/>
      <w:bookmarkEnd w:id="56"/>
    </w:p>
    <w:p>
      <w:pPr>
        <w:spacing w:line="360" w:lineRule="auto"/>
        <w:ind w:firstLine="640" w:firstLineChars="200"/>
        <w:rPr>
          <w:rFonts w:ascii="仿宋_GB2312" w:hAnsi="仿宋_GB2312" w:eastAsia="仿宋_GB2312" w:cs="仿宋_GB2312"/>
          <w:sz w:val="32"/>
          <w:szCs w:val="32"/>
          <w:lang w:val="zh-CN"/>
        </w:rPr>
      </w:pPr>
      <w:r>
        <w:rPr>
          <w:rFonts w:ascii="仿宋_GB2312" w:hAnsi="仿宋_GB2312" w:eastAsia="仿宋_GB2312" w:cs="仿宋_GB2312"/>
          <w:sz w:val="32"/>
          <w:szCs w:val="32"/>
          <w:lang w:val="zh-CN"/>
        </w:rPr>
        <w:t>根据</w:t>
      </w:r>
      <w:r>
        <w:rPr>
          <w:rFonts w:hint="eastAsia" w:ascii="仿宋_GB2312" w:hAnsi="仿宋_GB2312" w:eastAsia="仿宋_GB2312" w:cs="仿宋_GB2312"/>
          <w:sz w:val="32"/>
          <w:szCs w:val="32"/>
        </w:rPr>
        <w:t>《三门峡市财政局关于开展202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年度市级预算绩效自评工作的通知》（三财效〔202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〕3号）</w:t>
      </w:r>
      <w:r>
        <w:rPr>
          <w:rFonts w:ascii="仿宋_GB2312" w:hAnsi="仿宋_GB2312" w:eastAsia="仿宋_GB2312" w:cs="仿宋_GB2312"/>
          <w:sz w:val="32"/>
          <w:szCs w:val="32"/>
          <w:lang w:val="zh-CN"/>
        </w:rPr>
        <w:t>相关规定，绩效评价结果实行百分制和四级分类，分别是：90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-100分为优、80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90</w:t>
      </w:r>
      <w:r>
        <w:rPr>
          <w:rFonts w:ascii="仿宋_GB2312" w:hAnsi="仿宋_GB2312" w:eastAsia="仿宋_GB2312" w:cs="仿宋_GB2312"/>
          <w:sz w:val="32"/>
          <w:szCs w:val="32"/>
          <w:lang w:val="zh-CN"/>
        </w:rPr>
        <w:t>分为良、60</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含</w:t>
      </w:r>
      <w:r>
        <w:rPr>
          <w:rFonts w:hint="eastAsia" w:ascii="仿宋_GB2312" w:hAnsi="仿宋_GB2312" w:eastAsia="仿宋_GB2312" w:cs="仿宋_GB2312"/>
          <w:sz w:val="32"/>
          <w:szCs w:val="32"/>
          <w:lang w:val="zh-CN"/>
        </w:rPr>
        <w:t>）</w:t>
      </w:r>
      <w:r>
        <w:rPr>
          <w:rFonts w:ascii="仿宋_GB2312" w:hAnsi="仿宋_GB2312" w:eastAsia="仿宋_GB2312" w:cs="仿宋_GB2312"/>
          <w:sz w:val="32"/>
          <w:szCs w:val="32"/>
          <w:lang w:val="zh-CN"/>
        </w:rPr>
        <w:t>-</w:t>
      </w:r>
      <w:r>
        <w:rPr>
          <w:rFonts w:hint="eastAsia" w:ascii="仿宋_GB2312" w:hAnsi="仿宋_GB2312" w:eastAsia="仿宋_GB2312" w:cs="仿宋_GB2312"/>
          <w:sz w:val="32"/>
          <w:szCs w:val="32"/>
        </w:rPr>
        <w:t>80</w:t>
      </w:r>
      <w:r>
        <w:rPr>
          <w:rFonts w:ascii="仿宋_GB2312" w:hAnsi="仿宋_GB2312" w:eastAsia="仿宋_GB2312" w:cs="仿宋_GB2312"/>
          <w:sz w:val="32"/>
          <w:szCs w:val="32"/>
          <w:lang w:val="zh-CN"/>
        </w:rPr>
        <w:t>分为中、</w:t>
      </w:r>
      <w:r>
        <w:rPr>
          <w:rFonts w:hint="eastAsia" w:ascii="仿宋_GB2312" w:hAnsi="仿宋_GB2312" w:eastAsia="仿宋_GB2312" w:cs="仿宋_GB2312"/>
          <w:sz w:val="32"/>
          <w:szCs w:val="32"/>
        </w:rPr>
        <w:t>60</w:t>
      </w:r>
      <w:r>
        <w:rPr>
          <w:rFonts w:ascii="仿宋_GB2312" w:hAnsi="仿宋_GB2312" w:eastAsia="仿宋_GB2312" w:cs="仿宋_GB2312"/>
          <w:sz w:val="32"/>
          <w:szCs w:val="32"/>
          <w:lang w:val="zh-CN"/>
        </w:rPr>
        <w:t>分</w:t>
      </w:r>
      <w:r>
        <w:rPr>
          <w:rFonts w:hint="eastAsia" w:ascii="仿宋_GB2312" w:hAnsi="仿宋_GB2312" w:eastAsia="仿宋_GB2312" w:cs="仿宋_GB2312"/>
          <w:sz w:val="32"/>
          <w:szCs w:val="32"/>
        </w:rPr>
        <w:t>以下</w:t>
      </w:r>
      <w:r>
        <w:rPr>
          <w:rFonts w:ascii="仿宋_GB2312" w:hAnsi="仿宋_GB2312" w:eastAsia="仿宋_GB2312" w:cs="仿宋_GB2312"/>
          <w:sz w:val="32"/>
          <w:szCs w:val="32"/>
          <w:lang w:val="zh-CN"/>
        </w:rPr>
        <w:t>为差。</w:t>
      </w:r>
    </w:p>
    <w:p>
      <w:pPr>
        <w:spacing w:line="36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我科室通过对本项目调查研究、座谈、查阅相关资料，根据相关政策要求进行打分，最终项目自评价得分为</w:t>
      </w:r>
      <w:r>
        <w:rPr>
          <w:rFonts w:hint="eastAsia" w:ascii="仿宋_GB2312" w:hAnsi="仿宋_GB2312" w:eastAsia="仿宋_GB2312" w:cs="仿宋_GB2312"/>
          <w:sz w:val="32"/>
          <w:szCs w:val="32"/>
        </w:rPr>
        <w:t>95</w:t>
      </w:r>
      <w:r>
        <w:rPr>
          <w:rFonts w:hint="eastAsia" w:ascii="仿宋_GB2312" w:hAnsi="仿宋_GB2312" w:eastAsia="仿宋_GB2312" w:cs="仿宋_GB2312"/>
          <w:sz w:val="32"/>
          <w:szCs w:val="32"/>
          <w:lang w:val="zh-CN"/>
        </w:rPr>
        <w:t>分，评价结果为优。</w:t>
      </w:r>
    </w:p>
    <w:p>
      <w:pPr>
        <w:pStyle w:val="7"/>
        <w:keepNext w:val="0"/>
        <w:keepLines w:val="0"/>
        <w:numPr>
          <w:ilvl w:val="0"/>
          <w:numId w:val="1"/>
        </w:numPr>
        <w:spacing w:before="0" w:after="0" w:line="360" w:lineRule="auto"/>
        <w:rPr>
          <w:rFonts w:ascii="黑体" w:hAnsi="黑体" w:eastAsia="黑体" w:cs="黑体"/>
          <w:sz w:val="32"/>
          <w:szCs w:val="32"/>
          <w:lang w:val="zh-CN"/>
        </w:rPr>
      </w:pPr>
      <w:bookmarkStart w:id="57" w:name="_Toc29526"/>
      <w:bookmarkStart w:id="58" w:name="_Toc11209"/>
      <w:bookmarkStart w:id="59" w:name="_Toc6497"/>
      <w:r>
        <w:rPr>
          <w:rFonts w:ascii="黑体" w:hAnsi="黑体" w:eastAsia="黑体" w:cs="黑体"/>
          <w:sz w:val="32"/>
          <w:szCs w:val="32"/>
          <w:lang w:val="zh-CN"/>
        </w:rPr>
        <w:t>自评发现的问题及整改措施</w:t>
      </w:r>
      <w:bookmarkEnd w:id="57"/>
      <w:bookmarkEnd w:id="58"/>
      <w:bookmarkEnd w:id="59"/>
      <w:bookmarkStart w:id="60" w:name="_Toc9511"/>
      <w:bookmarkStart w:id="61" w:name="_Toc17190"/>
    </w:p>
    <w:bookmarkEnd w:id="60"/>
    <w:bookmarkEnd w:id="61"/>
    <w:p>
      <w:pPr>
        <w:spacing w:line="600" w:lineRule="exact"/>
        <w:ind w:firstLine="600" w:firstLineChars="200"/>
        <w:rPr>
          <w:rFonts w:ascii="仿宋_GB2312" w:hAnsi="仿宋_GB2312" w:eastAsia="仿宋_GB2312" w:cs="仿宋_GB2312"/>
          <w:bCs/>
          <w:color w:val="000000"/>
          <w:sz w:val="30"/>
          <w:szCs w:val="30"/>
        </w:rPr>
      </w:pPr>
      <w:bookmarkStart w:id="62" w:name="_Toc16509"/>
      <w:bookmarkStart w:id="63" w:name="_Toc19784"/>
      <w:bookmarkStart w:id="64" w:name="_Toc31923"/>
      <w:r>
        <w:rPr>
          <w:rFonts w:ascii="仿宋_GB2312" w:hAnsi="仿宋_GB2312" w:eastAsia="仿宋_GB2312" w:cs="仿宋_GB2312"/>
          <w:bCs/>
          <w:color w:val="000000"/>
          <w:sz w:val="30"/>
          <w:szCs w:val="30"/>
          <w:lang w:val="zh-CN"/>
        </w:rPr>
        <w:t>发现的问题</w:t>
      </w:r>
      <w:r>
        <w:rPr>
          <w:rFonts w:hint="eastAsia" w:ascii="仿宋_GB2312" w:hAnsi="仿宋_GB2312" w:eastAsia="仿宋_GB2312" w:cs="仿宋_GB2312"/>
          <w:bCs/>
          <w:color w:val="000000"/>
          <w:sz w:val="30"/>
          <w:szCs w:val="30"/>
          <w:lang w:val="zh-CN"/>
        </w:rPr>
        <w:t>：</w:t>
      </w:r>
      <w:r>
        <w:rPr>
          <w:rFonts w:hint="eastAsia" w:ascii="仿宋_GB2312" w:hAnsi="仿宋_GB2312" w:eastAsia="仿宋_GB2312" w:cs="仿宋_GB2312"/>
          <w:bCs/>
          <w:color w:val="000000"/>
          <w:sz w:val="30"/>
          <w:szCs w:val="30"/>
        </w:rPr>
        <w:t>一是绩效管理体系需要逐渐健全。首先，需要进一步建立预算绩效管理制度，为我单位预算绩效管理工作提供强有力的制度保障；其次，需要进一步建立健全绩效评价指标体系，对个性化指标进行不断优化调整。二是绩效目标设置有待进一步提升科学性。在今后的预算编制工作中，绩效目标的设置需更加科学化、精细化。</w:t>
      </w:r>
    </w:p>
    <w:p>
      <w:pPr>
        <w:spacing w:line="600" w:lineRule="exact"/>
        <w:ind w:firstLine="600" w:firstLineChars="200"/>
        <w:rPr>
          <w:rFonts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整改措施：一是建章立制，强化专项资金的监督，完善单位《财务管理制度》，为专项资金的使用管理提供制度保障。二是加强预算绩效宣传和评价工作力度，培养全员绩效管理和评价过程，人人参与绩效目标设置，真正做到“谁支出、谁评价，有支出、必问效”。协调业务科所和行政科所配合效率。要采取召开会议、专题培训、分类指导等多种形式，让预算单位领导和工作人员了解政策、开展工作。</w:t>
      </w:r>
    </w:p>
    <w:p>
      <w:pPr>
        <w:pStyle w:val="7"/>
        <w:keepNext w:val="0"/>
        <w:keepLines w:val="0"/>
        <w:numPr>
          <w:ilvl w:val="0"/>
          <w:numId w:val="1"/>
        </w:numPr>
        <w:spacing w:before="0" w:after="0" w:line="360" w:lineRule="auto"/>
        <w:rPr>
          <w:rFonts w:ascii="黑体" w:hAnsi="黑体" w:eastAsia="黑体" w:cs="黑体"/>
          <w:sz w:val="32"/>
          <w:szCs w:val="32"/>
          <w:lang w:val="zh-CN"/>
        </w:rPr>
      </w:pPr>
      <w:r>
        <w:rPr>
          <w:rFonts w:ascii="黑体" w:hAnsi="黑体" w:eastAsia="黑体" w:cs="黑体"/>
          <w:sz w:val="32"/>
          <w:szCs w:val="32"/>
          <w:lang w:val="zh-CN"/>
        </w:rPr>
        <w:t>绩效自评工作建议及预算安排建议</w:t>
      </w:r>
      <w:bookmarkEnd w:id="62"/>
      <w:bookmarkEnd w:id="63"/>
      <w:bookmarkEnd w:id="64"/>
    </w:p>
    <w:p>
      <w:pPr>
        <w:pStyle w:val="16"/>
        <w:widowControl/>
        <w:spacing w:beforeAutospacing="0" w:afterAutospacing="0"/>
        <w:ind w:firstLine="640" w:firstLineChars="200"/>
        <w:jc w:val="both"/>
        <w:rPr>
          <w:rFonts w:ascii="仿宋_GB2312" w:hAnsi="仿宋_GB2312" w:eastAsia="仿宋_GB2312" w:cs="仿宋_GB2312"/>
          <w:sz w:val="32"/>
          <w:szCs w:val="32"/>
        </w:rPr>
      </w:pPr>
      <w:bookmarkStart w:id="65" w:name="_Toc6756"/>
      <w:bookmarkStart w:id="66" w:name="_Toc4014"/>
      <w:bookmarkStart w:id="67" w:name="_Toc7334"/>
      <w:r>
        <w:rPr>
          <w:rFonts w:hint="eastAsia" w:ascii="仿宋_GB2312" w:hAnsi="仿宋_GB2312" w:eastAsia="仿宋_GB2312" w:cs="仿宋_GB2312"/>
          <w:sz w:val="32"/>
          <w:szCs w:val="32"/>
        </w:rPr>
        <w:t>希望财政部门能组织开展预算绩效管理讲解，深入了解绩效上报工作的意义以及方式方法，更合理的安排资金用途。随着工作的深入推进，经费严重不能满足需要，因此申请再增加相关项目经费预算。</w:t>
      </w:r>
    </w:p>
    <w:p>
      <w:pPr>
        <w:pStyle w:val="7"/>
        <w:keepNext w:val="0"/>
        <w:keepLines w:val="0"/>
        <w:numPr>
          <w:ilvl w:val="0"/>
          <w:numId w:val="2"/>
        </w:numPr>
        <w:spacing w:before="0" w:after="0" w:line="360" w:lineRule="auto"/>
        <w:rPr>
          <w:rFonts w:ascii="黑体" w:hAnsi="黑体" w:eastAsia="黑体" w:cs="黑体"/>
          <w:sz w:val="32"/>
          <w:szCs w:val="32"/>
          <w:lang w:val="zh-CN"/>
        </w:rPr>
      </w:pPr>
      <w:r>
        <w:rPr>
          <w:rFonts w:ascii="黑体" w:hAnsi="黑体" w:eastAsia="黑体" w:cs="黑体"/>
          <w:sz w:val="32"/>
          <w:szCs w:val="32"/>
          <w:lang w:val="zh-CN"/>
        </w:rPr>
        <w:t>其他需要说明的问题</w:t>
      </w:r>
      <w:bookmarkEnd w:id="65"/>
      <w:bookmarkEnd w:id="66"/>
      <w:bookmarkEnd w:id="67"/>
    </w:p>
    <w:p>
      <w:pPr>
        <w:pStyle w:val="16"/>
        <w:widowControl/>
        <w:spacing w:beforeAutospacing="0" w:afterAutospacing="0"/>
        <w:ind w:firstLine="640" w:firstLineChars="200"/>
        <w:jc w:val="both"/>
        <w:rPr>
          <w:rFonts w:ascii="仿宋_GB2312" w:hAnsi="仿宋_GB2312" w:eastAsia="仿宋_GB2312" w:cs="仿宋_GB2312"/>
          <w:sz w:val="32"/>
          <w:szCs w:val="32"/>
        </w:rPr>
      </w:pPr>
      <w:bookmarkStart w:id="68" w:name="_Toc10246"/>
      <w:bookmarkStart w:id="69" w:name="_Toc32568"/>
      <w:r>
        <w:rPr>
          <w:rFonts w:hint="eastAsia" w:ascii="仿宋_GB2312" w:hAnsi="仿宋_GB2312" w:eastAsia="仿宋_GB2312" w:cs="仿宋_GB2312"/>
          <w:sz w:val="32"/>
          <w:szCs w:val="32"/>
        </w:rPr>
        <w:t>需要说明的是：受多种因素影响，部分指标值难以考察取证</w:t>
      </w:r>
      <w:bookmarkEnd w:id="68"/>
      <w:bookmarkStart w:id="70" w:name="_Toc12241"/>
      <w:bookmarkStart w:id="71" w:name="_Toc7176"/>
      <w:r>
        <w:rPr>
          <w:rFonts w:hint="eastAsia" w:ascii="仿宋_GB2312" w:hAnsi="仿宋_GB2312" w:eastAsia="仿宋_GB2312" w:cs="仿宋_GB2312"/>
          <w:sz w:val="32"/>
          <w:szCs w:val="32"/>
        </w:rPr>
        <w:t>。</w:t>
      </w:r>
      <w:bookmarkEnd w:id="69"/>
    </w:p>
    <w:bookmarkEnd w:id="70"/>
    <w:bookmarkEnd w:id="71"/>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文星仿宋">
    <w:altName w:val="仿宋_GB2312"/>
    <w:panose1 w:val="02010604000101010101"/>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0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rPr>
                        <w:rFonts w:hint="eastAsia"/>
                      </w:rPr>
                      <w:t>3</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84B2E0"/>
    <w:multiLevelType w:val="singleLevel"/>
    <w:tmpl w:val="C784B2E0"/>
    <w:lvl w:ilvl="0" w:tentative="0">
      <w:start w:val="4"/>
      <w:numFmt w:val="chineseCounting"/>
      <w:suff w:val="nothing"/>
      <w:lvlText w:val="%1、"/>
      <w:lvlJc w:val="left"/>
      <w:rPr>
        <w:rFonts w:hint="eastAsia"/>
      </w:rPr>
    </w:lvl>
  </w:abstractNum>
  <w:abstractNum w:abstractNumId="1">
    <w:nsid w:val="7B5CFF8A"/>
    <w:multiLevelType w:val="singleLevel"/>
    <w:tmpl w:val="7B5CFF8A"/>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4A69F3"/>
    <w:rsid w:val="0055721E"/>
    <w:rsid w:val="006225BA"/>
    <w:rsid w:val="00AF4178"/>
    <w:rsid w:val="00D403CC"/>
    <w:rsid w:val="00F14F40"/>
    <w:rsid w:val="01CD24AB"/>
    <w:rsid w:val="01D11DD0"/>
    <w:rsid w:val="027375C1"/>
    <w:rsid w:val="03687896"/>
    <w:rsid w:val="03A74472"/>
    <w:rsid w:val="03CF39B3"/>
    <w:rsid w:val="03E3527A"/>
    <w:rsid w:val="03FB180A"/>
    <w:rsid w:val="0475434D"/>
    <w:rsid w:val="04E85A96"/>
    <w:rsid w:val="05310285"/>
    <w:rsid w:val="05E94B02"/>
    <w:rsid w:val="06022C39"/>
    <w:rsid w:val="06241739"/>
    <w:rsid w:val="06403200"/>
    <w:rsid w:val="06464EE4"/>
    <w:rsid w:val="067D4911"/>
    <w:rsid w:val="06CD2CAD"/>
    <w:rsid w:val="06D44DB6"/>
    <w:rsid w:val="07093BCC"/>
    <w:rsid w:val="073C001E"/>
    <w:rsid w:val="076D7ABD"/>
    <w:rsid w:val="07EC720E"/>
    <w:rsid w:val="09517008"/>
    <w:rsid w:val="09520821"/>
    <w:rsid w:val="09DD6ACD"/>
    <w:rsid w:val="0B0A783A"/>
    <w:rsid w:val="0B714783"/>
    <w:rsid w:val="0BA212E3"/>
    <w:rsid w:val="0BDB688F"/>
    <w:rsid w:val="0C1D2D9B"/>
    <w:rsid w:val="0C2B3B54"/>
    <w:rsid w:val="0D5B101A"/>
    <w:rsid w:val="0DAC117D"/>
    <w:rsid w:val="0DC63D28"/>
    <w:rsid w:val="0E00771B"/>
    <w:rsid w:val="0E243570"/>
    <w:rsid w:val="0E9C42BC"/>
    <w:rsid w:val="0EDC6DE7"/>
    <w:rsid w:val="0EF760A8"/>
    <w:rsid w:val="0F0A5349"/>
    <w:rsid w:val="0F386323"/>
    <w:rsid w:val="100C1C87"/>
    <w:rsid w:val="102A6D5E"/>
    <w:rsid w:val="10403E70"/>
    <w:rsid w:val="11181DA8"/>
    <w:rsid w:val="114558BD"/>
    <w:rsid w:val="11BE372B"/>
    <w:rsid w:val="11D94FBF"/>
    <w:rsid w:val="11DF7AA5"/>
    <w:rsid w:val="11EC2F93"/>
    <w:rsid w:val="121E4775"/>
    <w:rsid w:val="13326DFA"/>
    <w:rsid w:val="13663A30"/>
    <w:rsid w:val="13A84A9A"/>
    <w:rsid w:val="13C60661"/>
    <w:rsid w:val="14135BEE"/>
    <w:rsid w:val="142A71C6"/>
    <w:rsid w:val="143049A4"/>
    <w:rsid w:val="14AC70A9"/>
    <w:rsid w:val="14BD44C7"/>
    <w:rsid w:val="14DE3D76"/>
    <w:rsid w:val="1512287B"/>
    <w:rsid w:val="155B3210"/>
    <w:rsid w:val="15C00483"/>
    <w:rsid w:val="15C71E5A"/>
    <w:rsid w:val="15EB0E81"/>
    <w:rsid w:val="15F135FB"/>
    <w:rsid w:val="16A86570"/>
    <w:rsid w:val="16AE72D0"/>
    <w:rsid w:val="173871A7"/>
    <w:rsid w:val="178B4BED"/>
    <w:rsid w:val="17A009E3"/>
    <w:rsid w:val="1801797E"/>
    <w:rsid w:val="18074165"/>
    <w:rsid w:val="18180FA8"/>
    <w:rsid w:val="18570359"/>
    <w:rsid w:val="186944EF"/>
    <w:rsid w:val="19357C12"/>
    <w:rsid w:val="196138D2"/>
    <w:rsid w:val="19953697"/>
    <w:rsid w:val="19BA43E3"/>
    <w:rsid w:val="1A4450BF"/>
    <w:rsid w:val="1AC12C79"/>
    <w:rsid w:val="1AF11A8C"/>
    <w:rsid w:val="1B7911A5"/>
    <w:rsid w:val="1B8B0E1E"/>
    <w:rsid w:val="1BFD0F60"/>
    <w:rsid w:val="1C29383C"/>
    <w:rsid w:val="1C48271E"/>
    <w:rsid w:val="1D47313A"/>
    <w:rsid w:val="1D4A4C12"/>
    <w:rsid w:val="1D676463"/>
    <w:rsid w:val="1DC41A36"/>
    <w:rsid w:val="1DFC4D2D"/>
    <w:rsid w:val="1E216956"/>
    <w:rsid w:val="1E7C7AF5"/>
    <w:rsid w:val="1EA51E7C"/>
    <w:rsid w:val="1EC01BD4"/>
    <w:rsid w:val="1EEE3414"/>
    <w:rsid w:val="1F3A1FDC"/>
    <w:rsid w:val="1F4242CA"/>
    <w:rsid w:val="1F6E60BF"/>
    <w:rsid w:val="1FA65F70"/>
    <w:rsid w:val="1FFB2D1C"/>
    <w:rsid w:val="20E32BEF"/>
    <w:rsid w:val="212C46B1"/>
    <w:rsid w:val="21ED3453"/>
    <w:rsid w:val="21EE6A3C"/>
    <w:rsid w:val="22715B15"/>
    <w:rsid w:val="22CC5DB2"/>
    <w:rsid w:val="23AC70BE"/>
    <w:rsid w:val="24033141"/>
    <w:rsid w:val="25795502"/>
    <w:rsid w:val="25AB5C72"/>
    <w:rsid w:val="261B2803"/>
    <w:rsid w:val="266D3B8D"/>
    <w:rsid w:val="2673135B"/>
    <w:rsid w:val="274970C1"/>
    <w:rsid w:val="276B4CF7"/>
    <w:rsid w:val="288C42DB"/>
    <w:rsid w:val="2A9D08B5"/>
    <w:rsid w:val="2B147896"/>
    <w:rsid w:val="2B25139B"/>
    <w:rsid w:val="2B424556"/>
    <w:rsid w:val="2CC11655"/>
    <w:rsid w:val="2CF66F3B"/>
    <w:rsid w:val="2D96497A"/>
    <w:rsid w:val="2DFC3ABA"/>
    <w:rsid w:val="2E3B1D53"/>
    <w:rsid w:val="2E874CFC"/>
    <w:rsid w:val="2ED70AD7"/>
    <w:rsid w:val="2F4D5996"/>
    <w:rsid w:val="2F7A178E"/>
    <w:rsid w:val="2FDE5397"/>
    <w:rsid w:val="2FE87747"/>
    <w:rsid w:val="30593884"/>
    <w:rsid w:val="308527DF"/>
    <w:rsid w:val="3088385B"/>
    <w:rsid w:val="30B9326C"/>
    <w:rsid w:val="318B0952"/>
    <w:rsid w:val="31DF7CC7"/>
    <w:rsid w:val="31FD63AA"/>
    <w:rsid w:val="3229235E"/>
    <w:rsid w:val="3229411A"/>
    <w:rsid w:val="322D471F"/>
    <w:rsid w:val="32870C13"/>
    <w:rsid w:val="32C318DF"/>
    <w:rsid w:val="33481B81"/>
    <w:rsid w:val="335509C7"/>
    <w:rsid w:val="34490514"/>
    <w:rsid w:val="34801387"/>
    <w:rsid w:val="35323F4D"/>
    <w:rsid w:val="35F5341F"/>
    <w:rsid w:val="364D7507"/>
    <w:rsid w:val="36853699"/>
    <w:rsid w:val="36F95D7D"/>
    <w:rsid w:val="37113F81"/>
    <w:rsid w:val="383E476D"/>
    <w:rsid w:val="38587408"/>
    <w:rsid w:val="38774D48"/>
    <w:rsid w:val="38CC5ED8"/>
    <w:rsid w:val="3902565F"/>
    <w:rsid w:val="39694146"/>
    <w:rsid w:val="3B70590B"/>
    <w:rsid w:val="3B837370"/>
    <w:rsid w:val="3B8E0BEC"/>
    <w:rsid w:val="3C1259C9"/>
    <w:rsid w:val="3C21355B"/>
    <w:rsid w:val="3C9B0FCA"/>
    <w:rsid w:val="3D162FD9"/>
    <w:rsid w:val="3D606B02"/>
    <w:rsid w:val="3DB053D5"/>
    <w:rsid w:val="3DBB4886"/>
    <w:rsid w:val="3DEA26E4"/>
    <w:rsid w:val="3E0934EC"/>
    <w:rsid w:val="3E1966DB"/>
    <w:rsid w:val="3E873D85"/>
    <w:rsid w:val="3EE01EF4"/>
    <w:rsid w:val="3FC65CE4"/>
    <w:rsid w:val="3FFD4C51"/>
    <w:rsid w:val="404D4025"/>
    <w:rsid w:val="40F2114B"/>
    <w:rsid w:val="4162246E"/>
    <w:rsid w:val="419E0086"/>
    <w:rsid w:val="41B94BAA"/>
    <w:rsid w:val="41B94E6B"/>
    <w:rsid w:val="41BA54AD"/>
    <w:rsid w:val="41DA5F81"/>
    <w:rsid w:val="426274DE"/>
    <w:rsid w:val="43413EFE"/>
    <w:rsid w:val="438F1213"/>
    <w:rsid w:val="43EF7CB6"/>
    <w:rsid w:val="441214EF"/>
    <w:rsid w:val="448C17EF"/>
    <w:rsid w:val="44A76620"/>
    <w:rsid w:val="44C9039D"/>
    <w:rsid w:val="451F5D6A"/>
    <w:rsid w:val="45A21C1C"/>
    <w:rsid w:val="45DB5816"/>
    <w:rsid w:val="462A4D7C"/>
    <w:rsid w:val="463955F5"/>
    <w:rsid w:val="467F19D6"/>
    <w:rsid w:val="46F53775"/>
    <w:rsid w:val="470B471F"/>
    <w:rsid w:val="47237B65"/>
    <w:rsid w:val="475C1AA9"/>
    <w:rsid w:val="47AC6349"/>
    <w:rsid w:val="47B41DDF"/>
    <w:rsid w:val="47B9772E"/>
    <w:rsid w:val="47EA4F22"/>
    <w:rsid w:val="48316427"/>
    <w:rsid w:val="487A1FC6"/>
    <w:rsid w:val="48D54AAF"/>
    <w:rsid w:val="491C4AEB"/>
    <w:rsid w:val="492B5C25"/>
    <w:rsid w:val="49395B00"/>
    <w:rsid w:val="496C68DE"/>
    <w:rsid w:val="4A257AB1"/>
    <w:rsid w:val="4A5C7F26"/>
    <w:rsid w:val="4ABA4758"/>
    <w:rsid w:val="4AFF07C1"/>
    <w:rsid w:val="4C2B3CBB"/>
    <w:rsid w:val="4D656886"/>
    <w:rsid w:val="4DCD728F"/>
    <w:rsid w:val="4E1229E8"/>
    <w:rsid w:val="4EE84F7D"/>
    <w:rsid w:val="4F261EF2"/>
    <w:rsid w:val="4F3F1FEB"/>
    <w:rsid w:val="50225E3D"/>
    <w:rsid w:val="508005C7"/>
    <w:rsid w:val="50963008"/>
    <w:rsid w:val="50D26009"/>
    <w:rsid w:val="512F199A"/>
    <w:rsid w:val="515E556F"/>
    <w:rsid w:val="51CE5D14"/>
    <w:rsid w:val="521774C0"/>
    <w:rsid w:val="523F7E77"/>
    <w:rsid w:val="526A022B"/>
    <w:rsid w:val="52942ED4"/>
    <w:rsid w:val="52FE679A"/>
    <w:rsid w:val="53635160"/>
    <w:rsid w:val="53F02BBD"/>
    <w:rsid w:val="54087C43"/>
    <w:rsid w:val="54151AB3"/>
    <w:rsid w:val="547C2982"/>
    <w:rsid w:val="54D12A5B"/>
    <w:rsid w:val="553A3D22"/>
    <w:rsid w:val="553D7376"/>
    <w:rsid w:val="555C7E27"/>
    <w:rsid w:val="56614B0B"/>
    <w:rsid w:val="56EA0736"/>
    <w:rsid w:val="56F72425"/>
    <w:rsid w:val="56F94133"/>
    <w:rsid w:val="570730E6"/>
    <w:rsid w:val="573D02BD"/>
    <w:rsid w:val="57546843"/>
    <w:rsid w:val="57D22477"/>
    <w:rsid w:val="58165C8C"/>
    <w:rsid w:val="581B3AC4"/>
    <w:rsid w:val="58270281"/>
    <w:rsid w:val="58836238"/>
    <w:rsid w:val="589247BF"/>
    <w:rsid w:val="58BF2BBA"/>
    <w:rsid w:val="58C3256A"/>
    <w:rsid w:val="58C80F7B"/>
    <w:rsid w:val="58E24971"/>
    <w:rsid w:val="59964EC4"/>
    <w:rsid w:val="59CA1E32"/>
    <w:rsid w:val="5A9D143D"/>
    <w:rsid w:val="5AE66300"/>
    <w:rsid w:val="5BBA585B"/>
    <w:rsid w:val="5BF472B6"/>
    <w:rsid w:val="5C9E6E6F"/>
    <w:rsid w:val="5CC9121A"/>
    <w:rsid w:val="5D2A03F6"/>
    <w:rsid w:val="5DAE6520"/>
    <w:rsid w:val="5DB30328"/>
    <w:rsid w:val="5DCF0D9F"/>
    <w:rsid w:val="5E250CB8"/>
    <w:rsid w:val="5E370097"/>
    <w:rsid w:val="5E3D49B5"/>
    <w:rsid w:val="5E511AE4"/>
    <w:rsid w:val="5E6922B4"/>
    <w:rsid w:val="5E9667BD"/>
    <w:rsid w:val="5EA050F2"/>
    <w:rsid w:val="5EAB68AB"/>
    <w:rsid w:val="5EF73BE2"/>
    <w:rsid w:val="5F3D3065"/>
    <w:rsid w:val="606C50D8"/>
    <w:rsid w:val="608A1152"/>
    <w:rsid w:val="608B20EF"/>
    <w:rsid w:val="60967BC8"/>
    <w:rsid w:val="609D521D"/>
    <w:rsid w:val="6127796C"/>
    <w:rsid w:val="61382481"/>
    <w:rsid w:val="61BF196A"/>
    <w:rsid w:val="61F11689"/>
    <w:rsid w:val="61F873E4"/>
    <w:rsid w:val="62600656"/>
    <w:rsid w:val="62A44963"/>
    <w:rsid w:val="631349E3"/>
    <w:rsid w:val="631E05FA"/>
    <w:rsid w:val="63436BA2"/>
    <w:rsid w:val="634376F7"/>
    <w:rsid w:val="63BF4ED9"/>
    <w:rsid w:val="63D85F0D"/>
    <w:rsid w:val="65900A51"/>
    <w:rsid w:val="659C3396"/>
    <w:rsid w:val="65DC5F14"/>
    <w:rsid w:val="65FC37D4"/>
    <w:rsid w:val="66541F82"/>
    <w:rsid w:val="665935D9"/>
    <w:rsid w:val="66DA6564"/>
    <w:rsid w:val="677A24B6"/>
    <w:rsid w:val="683F0A86"/>
    <w:rsid w:val="68503E83"/>
    <w:rsid w:val="68781637"/>
    <w:rsid w:val="687A78F9"/>
    <w:rsid w:val="68CE1443"/>
    <w:rsid w:val="69124FDF"/>
    <w:rsid w:val="69901EC0"/>
    <w:rsid w:val="69CA49FB"/>
    <w:rsid w:val="6A043746"/>
    <w:rsid w:val="6A5357A1"/>
    <w:rsid w:val="6A78052C"/>
    <w:rsid w:val="6A875334"/>
    <w:rsid w:val="6A884503"/>
    <w:rsid w:val="6AC5360B"/>
    <w:rsid w:val="6ADF0274"/>
    <w:rsid w:val="6AFC6911"/>
    <w:rsid w:val="6B1B61E1"/>
    <w:rsid w:val="6B206B79"/>
    <w:rsid w:val="6BC85164"/>
    <w:rsid w:val="6BFB6BCB"/>
    <w:rsid w:val="6C842205"/>
    <w:rsid w:val="6D225641"/>
    <w:rsid w:val="6E0B664E"/>
    <w:rsid w:val="6E1A0D71"/>
    <w:rsid w:val="6E722F0C"/>
    <w:rsid w:val="6E8225F1"/>
    <w:rsid w:val="6F472C16"/>
    <w:rsid w:val="6F9718E7"/>
    <w:rsid w:val="6FD05487"/>
    <w:rsid w:val="70862B44"/>
    <w:rsid w:val="70C3452F"/>
    <w:rsid w:val="71356FE0"/>
    <w:rsid w:val="718805D0"/>
    <w:rsid w:val="72CC0D0F"/>
    <w:rsid w:val="731E1707"/>
    <w:rsid w:val="73C72D5A"/>
    <w:rsid w:val="73F551D4"/>
    <w:rsid w:val="743C7925"/>
    <w:rsid w:val="7449202E"/>
    <w:rsid w:val="74A72714"/>
    <w:rsid w:val="74ED7A64"/>
    <w:rsid w:val="74F22980"/>
    <w:rsid w:val="754822C9"/>
    <w:rsid w:val="7549328A"/>
    <w:rsid w:val="757E669A"/>
    <w:rsid w:val="759E5454"/>
    <w:rsid w:val="765561D3"/>
    <w:rsid w:val="767F3925"/>
    <w:rsid w:val="76E55379"/>
    <w:rsid w:val="772050C3"/>
    <w:rsid w:val="773D4564"/>
    <w:rsid w:val="776948CD"/>
    <w:rsid w:val="77C57565"/>
    <w:rsid w:val="77F814DF"/>
    <w:rsid w:val="78746F95"/>
    <w:rsid w:val="78B6314A"/>
    <w:rsid w:val="79181E93"/>
    <w:rsid w:val="7921275B"/>
    <w:rsid w:val="79905BFC"/>
    <w:rsid w:val="79E41632"/>
    <w:rsid w:val="7A3D329F"/>
    <w:rsid w:val="7A620D4B"/>
    <w:rsid w:val="7AA11E6E"/>
    <w:rsid w:val="7AA60219"/>
    <w:rsid w:val="7B71655A"/>
    <w:rsid w:val="7B8168E2"/>
    <w:rsid w:val="7C745F09"/>
    <w:rsid w:val="7CA377F5"/>
    <w:rsid w:val="7D2726CD"/>
    <w:rsid w:val="7D2F6FEA"/>
    <w:rsid w:val="7D347EF8"/>
    <w:rsid w:val="7E7D369D"/>
    <w:rsid w:val="7EBE117D"/>
    <w:rsid w:val="7EC22AF7"/>
    <w:rsid w:val="7EC56C50"/>
    <w:rsid w:val="7F442C7A"/>
    <w:rsid w:val="7FC961EF"/>
    <w:rsid w:val="7FCA4AA4"/>
    <w:rsid w:val="7FD7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1"/>
    <w:basedOn w:val="1"/>
    <w:next w:val="8"/>
    <w:qFormat/>
    <w:uiPriority w:val="0"/>
    <w:pPr>
      <w:keepNext/>
      <w:keepLines/>
      <w:spacing w:before="340" w:after="330" w:line="576" w:lineRule="auto"/>
      <w:outlineLvl w:val="0"/>
    </w:pPr>
    <w:rPr>
      <w:b/>
      <w:kern w:val="44"/>
      <w:sz w:val="44"/>
    </w:rPr>
  </w:style>
  <w:style w:type="paragraph" w:styleId="8">
    <w:name w:val="heading 2"/>
    <w:basedOn w:val="1"/>
    <w:next w:val="9"/>
    <w:link w:val="21"/>
    <w:unhideWhenUsed/>
    <w:qFormat/>
    <w:uiPriority w:val="0"/>
    <w:pPr>
      <w:keepNext/>
      <w:keepLines/>
      <w:adjustRightInd w:val="0"/>
      <w:snapToGrid w:val="0"/>
      <w:spacing w:before="100" w:after="100" w:line="360" w:lineRule="auto"/>
      <w:outlineLvl w:val="1"/>
    </w:pPr>
    <w:rPr>
      <w:rFonts w:ascii="Times New Roman" w:hAnsi="Times New Roman" w:eastAsia="仿宋" w:cs="Times New Roman"/>
      <w:b/>
      <w:sz w:val="32"/>
      <w:szCs w:val="32"/>
    </w:rPr>
  </w:style>
  <w:style w:type="paragraph" w:styleId="9">
    <w:name w:val="heading 3"/>
    <w:basedOn w:val="1"/>
    <w:next w:val="1"/>
    <w:unhideWhenUsed/>
    <w:qFormat/>
    <w:uiPriority w:val="0"/>
    <w:pPr>
      <w:keepNext/>
      <w:keepLines/>
      <w:adjustRightInd w:val="0"/>
      <w:snapToGrid w:val="0"/>
      <w:spacing w:before="100" w:after="100" w:line="360" w:lineRule="auto"/>
      <w:ind w:firstLine="560" w:firstLineChars="200"/>
      <w:outlineLvl w:val="2"/>
    </w:pPr>
    <w:rPr>
      <w:rFonts w:ascii="Times New Roman" w:hAnsi="Times New Roman" w:eastAsia="仿宋" w:cs="Times New Roman"/>
      <w:b/>
      <w:sz w:val="30"/>
      <w:szCs w:val="30"/>
    </w:rPr>
  </w:style>
  <w:style w:type="paragraph" w:styleId="10">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unhideWhenUsed/>
    <w:qFormat/>
    <w:uiPriority w:val="0"/>
    <w:pPr>
      <w:ind w:firstLine="420"/>
    </w:pPr>
  </w:style>
  <w:style w:type="paragraph" w:styleId="3">
    <w:name w:val="Body Text Indent"/>
    <w:basedOn w:val="1"/>
    <w:unhideWhenUsed/>
    <w:uiPriority w:val="99"/>
    <w:pPr>
      <w:spacing w:after="120"/>
      <w:ind w:left="420" w:leftChars="200"/>
    </w:pPr>
  </w:style>
  <w:style w:type="paragraph" w:styleId="4">
    <w:name w:val="Body Text First Indent"/>
    <w:basedOn w:val="5"/>
    <w:qFormat/>
    <w:uiPriority w:val="0"/>
    <w:pPr>
      <w:ind w:firstLine="420" w:firstLineChars="100"/>
    </w:pPr>
  </w:style>
  <w:style w:type="paragraph" w:styleId="5">
    <w:name w:val="Body Text"/>
    <w:basedOn w:val="1"/>
    <w:next w:val="6"/>
    <w:qFormat/>
    <w:uiPriority w:val="0"/>
    <w:pPr>
      <w:spacing w:after="120"/>
    </w:pPr>
  </w:style>
  <w:style w:type="paragraph" w:styleId="6">
    <w:name w:val="Body Text 2"/>
    <w:basedOn w:val="1"/>
    <w:qFormat/>
    <w:uiPriority w:val="0"/>
    <w:pPr>
      <w:spacing w:after="120" w:line="480" w:lineRule="auto"/>
    </w:pPr>
  </w:style>
  <w:style w:type="paragraph" w:styleId="11">
    <w:name w:val="annotation text"/>
    <w:basedOn w:val="1"/>
    <w:qFormat/>
    <w:uiPriority w:val="0"/>
    <w:pPr>
      <w:jc w:val="left"/>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Autospacing="1"/>
      <w:jc w:val="left"/>
    </w:pPr>
    <w:rPr>
      <w:rFonts w:cs="Times New Roman"/>
      <w:kern w:val="0"/>
      <w:sz w:val="24"/>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character" w:customStyle="1" w:styleId="21">
    <w:name w:val="标题 2 字符"/>
    <w:link w:val="8"/>
    <w:qFormat/>
    <w:uiPriority w:val="9"/>
    <w:rPr>
      <w:rFonts w:ascii="Times New Roman" w:hAnsi="Times New Roman" w:eastAsia="仿宋" w:cs="Times New Roman"/>
      <w:b/>
      <w:sz w:val="32"/>
      <w:szCs w:val="32"/>
    </w:rPr>
  </w:style>
  <w:style w:type="character" w:customStyle="1" w:styleId="22">
    <w:name w:val="font21"/>
    <w:basedOn w:val="19"/>
    <w:qFormat/>
    <w:uiPriority w:val="0"/>
    <w:rPr>
      <w:rFonts w:hint="eastAsia" w:ascii="黑体" w:hAnsi="宋体" w:eastAsia="黑体" w:cs="黑体"/>
      <w:color w:val="000000"/>
      <w:sz w:val="13"/>
      <w:szCs w:val="13"/>
      <w:u w:val="none"/>
    </w:rPr>
  </w:style>
  <w:style w:type="character" w:customStyle="1" w:styleId="23">
    <w:name w:val="font11"/>
    <w:basedOn w:val="19"/>
    <w:qFormat/>
    <w:uiPriority w:val="0"/>
    <w:rPr>
      <w:rFonts w:hint="default" w:ascii="Times New Roman" w:hAnsi="Times New Roman" w:cs="Times New Roman"/>
      <w:color w:val="000000"/>
      <w:sz w:val="13"/>
      <w:szCs w:val="13"/>
      <w:u w:val="none"/>
    </w:rPr>
  </w:style>
  <w:style w:type="character" w:customStyle="1" w:styleId="24">
    <w:name w:val="font51"/>
    <w:basedOn w:val="19"/>
    <w:qFormat/>
    <w:uiPriority w:val="0"/>
    <w:rPr>
      <w:rFonts w:hint="eastAsia" w:ascii="黑体" w:hAnsi="宋体" w:eastAsia="黑体" w:cs="黑体"/>
      <w:color w:val="000000"/>
      <w:sz w:val="13"/>
      <w:szCs w:val="13"/>
      <w:u w:val="none"/>
      <w:vertAlign w:val="superscript"/>
    </w:rPr>
  </w:style>
  <w:style w:type="character" w:customStyle="1" w:styleId="25">
    <w:name w:val="font41"/>
    <w:basedOn w:val="19"/>
    <w:qFormat/>
    <w:uiPriority w:val="0"/>
    <w:rPr>
      <w:rFonts w:hint="eastAsia" w:ascii="宋体" w:hAnsi="宋体" w:eastAsia="宋体" w:cs="宋体"/>
      <w:color w:val="000000"/>
      <w:sz w:val="22"/>
      <w:szCs w:val="22"/>
      <w:u w:val="none"/>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8">
    <w:name w:val="表头"/>
    <w:basedOn w:val="1"/>
    <w:next w:val="1"/>
    <w:qFormat/>
    <w:uiPriority w:val="0"/>
    <w:pPr>
      <w:adjustRightInd w:val="0"/>
      <w:snapToGrid w:val="0"/>
      <w:spacing w:before="100" w:after="100" w:line="360" w:lineRule="auto"/>
      <w:jc w:val="center"/>
    </w:pPr>
    <w:rPr>
      <w:rFonts w:ascii="Times New Roman" w:hAnsi="Times New Roman" w:eastAsia="仿宋" w:cs="Times New Roman"/>
      <w:b/>
      <w:sz w:val="28"/>
      <w:szCs w:val="28"/>
    </w:rPr>
  </w:style>
  <w:style w:type="character" w:customStyle="1" w:styleId="29">
    <w:name w:val="font7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1017</Words>
  <Characters>5797</Characters>
  <Lines>48</Lines>
  <Paragraphs>13</Paragraphs>
  <TotalTime>3</TotalTime>
  <ScaleCrop>false</ScaleCrop>
  <LinksUpToDate>false</LinksUpToDate>
  <CharactersWithSpaces>6801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2021-05-19T12:19:00Z</dcterms:created>
  <dc:creator>Administrator</dc:creator>
  <cp:lastModifiedBy>Administrator</cp:lastModifiedBy>
  <dcterms:modified xsi:type="dcterms:W3CDTF">2022-05-05T01:29:09Z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4EA0A088680843C19B23255FDD56AF9A</vt:lpwstr>
  </property>
</Properties>
</file>