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after="312" w:afterLines="100" w:line="560" w:lineRule="exact"/>
        <w:jc w:val="center"/>
        <w:rPr>
          <w:rFonts w:ascii="华文中宋" w:hAnsi="华文中宋" w:eastAsia="华文中宋" w:cs="方正小标宋简体"/>
          <w:b/>
          <w:sz w:val="48"/>
          <w:szCs w:val="48"/>
        </w:rPr>
      </w:pPr>
      <w:r>
        <w:rPr>
          <w:rFonts w:hint="eastAsia" w:ascii="华文中宋" w:hAnsi="华文中宋" w:eastAsia="华文中宋" w:cs="方正小标宋简体"/>
          <w:b/>
          <w:sz w:val="48"/>
          <w:szCs w:val="48"/>
        </w:rPr>
        <w:t>三门峡市市场监督管理局</w:t>
      </w:r>
    </w:p>
    <w:p>
      <w:pPr>
        <w:spacing w:before="312" w:beforeLines="100" w:after="312" w:afterLines="100" w:line="360" w:lineRule="auto"/>
        <w:jc w:val="center"/>
        <w:rPr>
          <w:rFonts w:ascii="华文中宋" w:hAnsi="华文中宋" w:eastAsia="华文中宋" w:cs="方正小标宋简体"/>
          <w:b/>
          <w:sz w:val="48"/>
          <w:szCs w:val="48"/>
        </w:rPr>
      </w:pPr>
      <w:r>
        <w:rPr>
          <w:rFonts w:hint="eastAsia" w:ascii="华文中宋" w:hAnsi="华文中宋" w:eastAsia="华文中宋" w:cs="方正小标宋简体"/>
          <w:b/>
          <w:sz w:val="48"/>
          <w:szCs w:val="48"/>
        </w:rPr>
        <w:t>202</w:t>
      </w:r>
      <w:r>
        <w:rPr>
          <w:rFonts w:hint="eastAsia" w:ascii="华文中宋" w:hAnsi="华文中宋" w:eastAsia="华文中宋" w:cs="方正小标宋简体"/>
          <w:b/>
          <w:sz w:val="48"/>
          <w:szCs w:val="48"/>
          <w:lang w:val="en-US" w:eastAsia="zh-CN"/>
        </w:rPr>
        <w:t>1</w:t>
      </w:r>
      <w:r>
        <w:rPr>
          <w:rFonts w:hint="eastAsia" w:ascii="华文中宋" w:hAnsi="华文中宋" w:eastAsia="华文中宋" w:cs="方正小标宋简体"/>
          <w:b/>
          <w:sz w:val="48"/>
          <w:szCs w:val="48"/>
        </w:rPr>
        <w:t>年度项目支出自评报告</w:t>
      </w: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1606" w:firstLineChars="500"/>
        <w:rPr>
          <w:rFonts w:ascii="宋体" w:hAnsi="宋体" w:eastAsia="宋体" w:cs="宋体"/>
          <w:b/>
          <w:sz w:val="32"/>
          <w:szCs w:val="32"/>
        </w:rPr>
      </w:pPr>
    </w:p>
    <w:p>
      <w:pPr>
        <w:spacing w:before="100" w:after="100" w:line="360" w:lineRule="auto"/>
        <w:ind w:firstLine="1606" w:firstLineChars="500"/>
        <w:rPr>
          <w:rFonts w:ascii="宋体" w:hAnsi="宋体" w:eastAsia="宋体" w:cs="宋体"/>
          <w:b/>
          <w:sz w:val="32"/>
          <w:szCs w:val="32"/>
        </w:rPr>
      </w:pPr>
    </w:p>
    <w:p>
      <w:pPr>
        <w:spacing w:before="100" w:after="100" w:line="360" w:lineRule="auto"/>
        <w:ind w:firstLine="1285" w:firstLineChars="400"/>
        <w:rPr>
          <w:rFonts w:ascii="宋体" w:hAnsi="宋体" w:eastAsia="宋体" w:cs="宋体"/>
          <w:b/>
          <w:sz w:val="32"/>
          <w:szCs w:val="32"/>
        </w:rPr>
      </w:pPr>
      <w:r>
        <w:rPr>
          <w:rFonts w:hint="eastAsia" w:ascii="宋体" w:hAnsi="宋体" w:eastAsia="宋体" w:cs="宋体"/>
          <w:b/>
          <w:sz w:val="32"/>
          <w:szCs w:val="32"/>
        </w:rPr>
        <w:t>自评单位：三门峡市市场监督管理局</w:t>
      </w:r>
    </w:p>
    <w:p>
      <w:pPr>
        <w:spacing w:line="360" w:lineRule="auto"/>
        <w:ind w:firstLine="1285" w:firstLineChars="400"/>
        <w:rPr>
          <w:rFonts w:ascii="宋体" w:hAnsi="宋体" w:eastAsia="宋体" w:cs="宋体"/>
          <w:b/>
          <w:sz w:val="32"/>
          <w:szCs w:val="32"/>
        </w:rPr>
      </w:pPr>
      <w:r>
        <w:rPr>
          <w:rFonts w:hint="eastAsia" w:ascii="宋体" w:hAnsi="宋体" w:eastAsia="宋体" w:cs="宋体"/>
          <w:b/>
          <w:sz w:val="32"/>
          <w:szCs w:val="32"/>
        </w:rPr>
        <w:t>日    期：202</w:t>
      </w:r>
      <w:r>
        <w:rPr>
          <w:rFonts w:hint="eastAsia" w:ascii="宋体" w:hAnsi="宋体" w:eastAsia="宋体" w:cs="宋体"/>
          <w:b/>
          <w:sz w:val="32"/>
          <w:szCs w:val="32"/>
          <w:lang w:val="en-US" w:eastAsia="zh-CN"/>
        </w:rPr>
        <w:t>2</w:t>
      </w:r>
      <w:r>
        <w:rPr>
          <w:rFonts w:hint="eastAsia" w:ascii="宋体" w:hAnsi="宋体" w:eastAsia="宋体" w:cs="宋体"/>
          <w:b/>
          <w:sz w:val="32"/>
          <w:szCs w:val="32"/>
        </w:rPr>
        <w:t>年</w:t>
      </w:r>
      <w:r>
        <w:rPr>
          <w:rFonts w:hint="eastAsia" w:ascii="宋体" w:hAnsi="宋体" w:eastAsia="宋体" w:cs="宋体"/>
          <w:b/>
          <w:sz w:val="32"/>
          <w:szCs w:val="32"/>
          <w:lang w:val="en-US" w:eastAsia="zh-CN"/>
        </w:rPr>
        <w:t>4</w:t>
      </w:r>
      <w:r>
        <w:rPr>
          <w:rFonts w:hint="eastAsia" w:ascii="宋体" w:hAnsi="宋体" w:eastAsia="宋体" w:cs="宋体"/>
          <w:b/>
          <w:sz w:val="32"/>
          <w:szCs w:val="32"/>
        </w:rPr>
        <w:t>月</w:t>
      </w:r>
    </w:p>
    <w:p>
      <w:pPr>
        <w:jc w:val="center"/>
        <w:rPr>
          <w:rFonts w:ascii="宋体" w:hAnsi="宋体" w:eastAsia="宋体"/>
          <w:b/>
          <w:bCs/>
          <w:sz w:val="28"/>
          <w:szCs w:val="36"/>
        </w:rPr>
        <w:sectPr>
          <w:pgSz w:w="11906" w:h="16838"/>
          <w:pgMar w:top="1440" w:right="1800" w:bottom="1440" w:left="1800" w:header="851" w:footer="992" w:gutter="0"/>
          <w:pgNumType w:fmt="upperRoman"/>
          <w:cols w:space="425" w:num="1"/>
          <w:docGrid w:type="lines" w:linePitch="312" w:charSpace="0"/>
        </w:sectPr>
      </w:pPr>
    </w:p>
    <w:sdt>
      <w:sdtPr>
        <w:rPr>
          <w:rFonts w:hint="eastAsia" w:ascii="黑体" w:hAnsi="黑体" w:eastAsia="黑体" w:cs="黑体"/>
          <w:b/>
          <w:bCs/>
          <w:sz w:val="40"/>
          <w:szCs w:val="40"/>
        </w:rPr>
        <w:id w:val="147454492"/>
        <w15:color w:val="DBDBDB"/>
        <w:docPartObj>
          <w:docPartGallery w:val="Table of Contents"/>
          <w:docPartUnique/>
        </w:docPartObj>
      </w:sdtPr>
      <w:sdtEndPr>
        <w:rPr>
          <w:rFonts w:hint="eastAsia" w:ascii="黑体" w:hAnsi="黑体" w:eastAsia="黑体" w:cs="黑体"/>
          <w:b/>
          <w:bCs w:val="0"/>
          <w:sz w:val="32"/>
          <w:szCs w:val="32"/>
        </w:rPr>
      </w:sdtEndPr>
      <w:sdtContent>
        <w:p>
          <w:pPr>
            <w:jc w:val="center"/>
            <w:rPr>
              <w:rFonts w:ascii="黑体" w:hAnsi="黑体" w:eastAsia="黑体" w:cs="黑体"/>
              <w:b/>
              <w:bCs/>
              <w:sz w:val="40"/>
              <w:szCs w:val="40"/>
            </w:rPr>
          </w:pPr>
          <w:bookmarkStart w:id="0" w:name="_Toc6149"/>
          <w:r>
            <w:rPr>
              <w:rFonts w:hint="eastAsia" w:ascii="宋体" w:hAnsi="宋体" w:eastAsia="宋体" w:cs="宋体"/>
              <w:b/>
              <w:bCs/>
              <w:sz w:val="40"/>
              <w:szCs w:val="40"/>
            </w:rPr>
            <w:t>目录</w:t>
          </w:r>
        </w:p>
        <w:p>
          <w:pPr>
            <w:pStyle w:val="12"/>
            <w:tabs>
              <w:tab w:val="right" w:leader="dot" w:pos="8306"/>
            </w:tabs>
            <w:rPr>
              <w:rFonts w:ascii="黑体" w:hAnsi="黑体" w:eastAsia="黑体" w:cs="黑体"/>
              <w:sz w:val="28"/>
              <w:szCs w:val="28"/>
            </w:rPr>
          </w:pPr>
          <w:r>
            <w:rPr>
              <w:rFonts w:hint="eastAsia" w:ascii="黑体" w:hAnsi="黑体" w:eastAsia="黑体" w:cs="黑体"/>
              <w:b/>
              <w:sz w:val="28"/>
              <w:szCs w:val="28"/>
            </w:rPr>
            <w:fldChar w:fldCharType="begin"/>
          </w:r>
          <w:r>
            <w:rPr>
              <w:rFonts w:hint="eastAsia" w:ascii="黑体" w:hAnsi="黑体" w:eastAsia="黑体" w:cs="黑体"/>
              <w:b/>
              <w:sz w:val="28"/>
              <w:szCs w:val="28"/>
            </w:rPr>
            <w:instrText xml:space="preserve">TOC \o "1-2" \h \u </w:instrText>
          </w:r>
          <w:r>
            <w:rPr>
              <w:rFonts w:hint="eastAsia" w:ascii="黑体" w:hAnsi="黑体" w:eastAsia="黑体" w:cs="黑体"/>
              <w:b/>
              <w:sz w:val="28"/>
              <w:szCs w:val="28"/>
            </w:rPr>
            <w:fldChar w:fldCharType="separate"/>
          </w:r>
          <w:r>
            <w:fldChar w:fldCharType="begin"/>
          </w:r>
          <w:r>
            <w:instrText xml:space="preserve"> HYPERLINK \l "_Toc587" </w:instrText>
          </w:r>
          <w:r>
            <w:fldChar w:fldCharType="separate"/>
          </w:r>
          <w:r>
            <w:rPr>
              <w:rFonts w:hint="eastAsia" w:ascii="黑体" w:hAnsi="黑体" w:eastAsia="黑体" w:cs="黑体"/>
              <w:sz w:val="28"/>
              <w:szCs w:val="28"/>
            </w:rPr>
            <w:t>一、项目支出基本情况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_Toc587 \h </w:instrText>
          </w:r>
          <w:r>
            <w:rPr>
              <w:rFonts w:hint="eastAsia" w:ascii="黑体" w:hAnsi="黑体" w:eastAsia="黑体" w:cs="黑体"/>
              <w:sz w:val="28"/>
              <w:szCs w:val="28"/>
            </w:rPr>
            <w:fldChar w:fldCharType="separate"/>
          </w:r>
          <w:r>
            <w:rPr>
              <w:rFonts w:hint="eastAsia" w:ascii="黑体" w:hAnsi="黑体" w:eastAsia="黑体" w:cs="黑体"/>
              <w:sz w:val="28"/>
              <w:szCs w:val="28"/>
            </w:rPr>
            <w:t>- 1 -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3"/>
            <w:tabs>
              <w:tab w:val="right" w:leader="dot" w:pos="8306"/>
            </w:tabs>
            <w:rPr>
              <w:rFonts w:ascii="黑体" w:hAnsi="黑体" w:eastAsia="黑体" w:cs="黑体"/>
              <w:sz w:val="28"/>
              <w:szCs w:val="28"/>
            </w:rPr>
          </w:pPr>
          <w:r>
            <w:fldChar w:fldCharType="begin"/>
          </w:r>
          <w:r>
            <w:instrText xml:space="preserve"> HYPERLINK \l "_Toc7982" </w:instrText>
          </w:r>
          <w:r>
            <w:fldChar w:fldCharType="separate"/>
          </w:r>
          <w:r>
            <w:rPr>
              <w:rFonts w:hint="eastAsia" w:ascii="黑体" w:hAnsi="黑体" w:eastAsia="黑体" w:cs="黑体"/>
              <w:sz w:val="28"/>
              <w:szCs w:val="28"/>
            </w:rPr>
            <w:t>（一）项目支出预算和执行情况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_Toc7982 \h </w:instrText>
          </w:r>
          <w:r>
            <w:rPr>
              <w:rFonts w:hint="eastAsia" w:ascii="黑体" w:hAnsi="黑体" w:eastAsia="黑体" w:cs="黑体"/>
              <w:sz w:val="28"/>
              <w:szCs w:val="28"/>
            </w:rPr>
            <w:fldChar w:fldCharType="separate"/>
          </w:r>
          <w:r>
            <w:rPr>
              <w:rFonts w:hint="eastAsia" w:ascii="黑体" w:hAnsi="黑体" w:eastAsia="黑体" w:cs="黑体"/>
              <w:sz w:val="28"/>
              <w:szCs w:val="28"/>
            </w:rPr>
            <w:t>- 1 -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3"/>
            <w:tabs>
              <w:tab w:val="right" w:leader="dot" w:pos="8306"/>
            </w:tabs>
            <w:rPr>
              <w:rFonts w:ascii="黑体" w:hAnsi="黑体" w:eastAsia="黑体" w:cs="黑体"/>
              <w:sz w:val="28"/>
              <w:szCs w:val="28"/>
            </w:rPr>
          </w:pPr>
          <w:r>
            <w:fldChar w:fldCharType="begin"/>
          </w:r>
          <w:r>
            <w:instrText xml:space="preserve"> HYPERLINK \l "_Toc27189" </w:instrText>
          </w:r>
          <w:r>
            <w:fldChar w:fldCharType="separate"/>
          </w:r>
          <w:r>
            <w:rPr>
              <w:rFonts w:hint="eastAsia" w:ascii="黑体" w:hAnsi="黑体" w:eastAsia="黑体" w:cs="黑体"/>
              <w:sz w:val="28"/>
              <w:szCs w:val="28"/>
            </w:rPr>
            <w:t>（二）项目内容</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_Toc27189 \h </w:instrText>
          </w:r>
          <w:r>
            <w:rPr>
              <w:rFonts w:hint="eastAsia" w:ascii="黑体" w:hAnsi="黑体" w:eastAsia="黑体" w:cs="黑体"/>
              <w:sz w:val="28"/>
              <w:szCs w:val="28"/>
            </w:rPr>
            <w:fldChar w:fldCharType="separate"/>
          </w:r>
          <w:r>
            <w:rPr>
              <w:rFonts w:hint="eastAsia" w:ascii="黑体" w:hAnsi="黑体" w:eastAsia="黑体" w:cs="黑体"/>
              <w:sz w:val="28"/>
              <w:szCs w:val="28"/>
            </w:rPr>
            <w:t>- 2 -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3"/>
            <w:tabs>
              <w:tab w:val="right" w:leader="dot" w:pos="8306"/>
            </w:tabs>
            <w:rPr>
              <w:rFonts w:ascii="黑体" w:hAnsi="黑体" w:eastAsia="黑体" w:cs="黑体"/>
              <w:sz w:val="28"/>
              <w:szCs w:val="28"/>
            </w:rPr>
          </w:pPr>
          <w:r>
            <w:fldChar w:fldCharType="begin"/>
          </w:r>
          <w:r>
            <w:instrText xml:space="preserve"> HYPERLINK \l "_Toc8896" </w:instrText>
          </w:r>
          <w:r>
            <w:fldChar w:fldCharType="separate"/>
          </w:r>
          <w:r>
            <w:rPr>
              <w:rFonts w:hint="eastAsia" w:ascii="黑体" w:hAnsi="黑体" w:eastAsia="黑体" w:cs="黑体"/>
              <w:sz w:val="28"/>
              <w:szCs w:val="28"/>
            </w:rPr>
            <w:t>（三）绩效目标批复情况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_Toc8896 \h </w:instrText>
          </w:r>
          <w:r>
            <w:rPr>
              <w:rFonts w:hint="eastAsia" w:ascii="黑体" w:hAnsi="黑体" w:eastAsia="黑体" w:cs="黑体"/>
              <w:sz w:val="28"/>
              <w:szCs w:val="28"/>
            </w:rPr>
            <w:fldChar w:fldCharType="separate"/>
          </w:r>
          <w:r>
            <w:rPr>
              <w:rFonts w:hint="eastAsia" w:ascii="黑体" w:hAnsi="黑体" w:eastAsia="黑体" w:cs="黑体"/>
              <w:sz w:val="28"/>
              <w:szCs w:val="28"/>
            </w:rPr>
            <w:t>- 2 -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"_Toc28718" </w:instrText>
          </w:r>
          <w:r>
            <w:fldChar w:fldCharType="separate"/>
          </w:r>
          <w:r>
            <w:rPr>
              <w:rFonts w:hint="eastAsia" w:ascii="黑体" w:hAnsi="黑体" w:eastAsia="黑体" w:cs="黑体"/>
              <w:sz w:val="28"/>
              <w:szCs w:val="28"/>
            </w:rPr>
            <w:t>二、单位自评工作开展情况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_Toc28718 \h </w:instrText>
          </w:r>
          <w:r>
            <w:rPr>
              <w:rFonts w:hint="eastAsia" w:ascii="黑体" w:hAnsi="黑体" w:eastAsia="黑体" w:cs="黑体"/>
              <w:sz w:val="28"/>
              <w:szCs w:val="28"/>
            </w:rPr>
            <w:fldChar w:fldCharType="separate"/>
          </w:r>
          <w:r>
            <w:rPr>
              <w:rFonts w:hint="eastAsia" w:ascii="黑体" w:hAnsi="黑体" w:eastAsia="黑体" w:cs="黑体"/>
              <w:sz w:val="28"/>
              <w:szCs w:val="28"/>
            </w:rPr>
            <w:t>- 2 -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3"/>
            <w:tabs>
              <w:tab w:val="right" w:leader="dot" w:pos="8306"/>
            </w:tabs>
            <w:rPr>
              <w:rFonts w:ascii="黑体" w:hAnsi="黑体" w:eastAsia="黑体" w:cs="黑体"/>
              <w:sz w:val="28"/>
              <w:szCs w:val="28"/>
            </w:rPr>
          </w:pPr>
          <w:r>
            <w:fldChar w:fldCharType="begin"/>
          </w:r>
          <w:r>
            <w:instrText xml:space="preserve"> HYPERLINK \l "_Toc5861" </w:instrText>
          </w:r>
          <w:r>
            <w:fldChar w:fldCharType="separate"/>
          </w:r>
          <w:r>
            <w:rPr>
              <w:rFonts w:hint="eastAsia" w:ascii="黑体" w:hAnsi="黑体" w:eastAsia="黑体" w:cs="黑体"/>
              <w:sz w:val="28"/>
              <w:szCs w:val="28"/>
            </w:rPr>
            <w:t>（一）绩效自评目的和意义</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_Toc5861 \h </w:instrText>
          </w:r>
          <w:r>
            <w:rPr>
              <w:rFonts w:hint="eastAsia" w:ascii="黑体" w:hAnsi="黑体" w:eastAsia="黑体" w:cs="黑体"/>
              <w:sz w:val="28"/>
              <w:szCs w:val="28"/>
            </w:rPr>
            <w:fldChar w:fldCharType="separate"/>
          </w:r>
          <w:r>
            <w:rPr>
              <w:rFonts w:hint="eastAsia" w:ascii="黑体" w:hAnsi="黑体" w:eastAsia="黑体" w:cs="黑体"/>
              <w:sz w:val="28"/>
              <w:szCs w:val="28"/>
            </w:rPr>
            <w:t>- 2 -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3"/>
            <w:tabs>
              <w:tab w:val="right" w:leader="dot" w:pos="8306"/>
            </w:tabs>
            <w:rPr>
              <w:rFonts w:ascii="黑体" w:hAnsi="黑体" w:eastAsia="黑体" w:cs="黑体"/>
              <w:sz w:val="28"/>
              <w:szCs w:val="28"/>
            </w:rPr>
          </w:pPr>
          <w:r>
            <w:fldChar w:fldCharType="begin"/>
          </w:r>
          <w:r>
            <w:instrText xml:space="preserve"> HYPERLINK \l "_Toc22825" </w:instrText>
          </w:r>
          <w:r>
            <w:fldChar w:fldCharType="separate"/>
          </w:r>
          <w:r>
            <w:rPr>
              <w:rFonts w:hint="eastAsia" w:ascii="黑体" w:hAnsi="黑体" w:eastAsia="黑体" w:cs="黑体"/>
              <w:sz w:val="28"/>
              <w:szCs w:val="28"/>
            </w:rPr>
            <w:t>（二）绩效自评对象和范围</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_Toc22825 \h </w:instrText>
          </w:r>
          <w:r>
            <w:rPr>
              <w:rFonts w:hint="eastAsia" w:ascii="黑体" w:hAnsi="黑体" w:eastAsia="黑体" w:cs="黑体"/>
              <w:sz w:val="28"/>
              <w:szCs w:val="28"/>
            </w:rPr>
            <w:fldChar w:fldCharType="separate"/>
          </w:r>
          <w:r>
            <w:rPr>
              <w:rFonts w:hint="eastAsia" w:ascii="黑体" w:hAnsi="黑体" w:eastAsia="黑体" w:cs="黑体"/>
              <w:sz w:val="28"/>
              <w:szCs w:val="28"/>
            </w:rPr>
            <w:t>- 3 -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3"/>
            <w:tabs>
              <w:tab w:val="right" w:leader="dot" w:pos="8306"/>
            </w:tabs>
            <w:rPr>
              <w:rFonts w:ascii="黑体" w:hAnsi="黑体" w:eastAsia="黑体" w:cs="黑体"/>
              <w:sz w:val="28"/>
              <w:szCs w:val="28"/>
            </w:rPr>
          </w:pPr>
          <w:r>
            <w:fldChar w:fldCharType="begin"/>
          </w:r>
          <w:r>
            <w:instrText xml:space="preserve"> HYPERLINK \l "_Toc1233" </w:instrText>
          </w:r>
          <w:r>
            <w:fldChar w:fldCharType="separate"/>
          </w:r>
          <w:r>
            <w:rPr>
              <w:rFonts w:hint="eastAsia" w:ascii="黑体" w:hAnsi="黑体" w:eastAsia="黑体" w:cs="黑体"/>
              <w:sz w:val="28"/>
              <w:szCs w:val="28"/>
            </w:rPr>
            <w:t>（三）绩效评价的依据</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_Toc1233 \h </w:instrText>
          </w:r>
          <w:r>
            <w:rPr>
              <w:rFonts w:hint="eastAsia" w:ascii="黑体" w:hAnsi="黑体" w:eastAsia="黑体" w:cs="黑体"/>
              <w:sz w:val="28"/>
              <w:szCs w:val="28"/>
            </w:rPr>
            <w:fldChar w:fldCharType="separate"/>
          </w:r>
          <w:r>
            <w:rPr>
              <w:rFonts w:hint="eastAsia" w:ascii="黑体" w:hAnsi="黑体" w:eastAsia="黑体" w:cs="黑体"/>
              <w:sz w:val="28"/>
              <w:szCs w:val="28"/>
            </w:rPr>
            <w:t>- 3 -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3"/>
            <w:tabs>
              <w:tab w:val="right" w:leader="dot" w:pos="8306"/>
            </w:tabs>
            <w:rPr>
              <w:rFonts w:ascii="黑体" w:hAnsi="黑体" w:eastAsia="黑体" w:cs="黑体"/>
              <w:sz w:val="28"/>
              <w:szCs w:val="28"/>
            </w:rPr>
          </w:pPr>
          <w:r>
            <w:fldChar w:fldCharType="begin"/>
          </w:r>
          <w:r>
            <w:instrText xml:space="preserve"> HYPERLINK \l "_Toc10608" </w:instrText>
          </w:r>
          <w:r>
            <w:fldChar w:fldCharType="separate"/>
          </w:r>
          <w:r>
            <w:rPr>
              <w:rFonts w:hint="eastAsia" w:ascii="黑体" w:hAnsi="黑体" w:eastAsia="黑体" w:cs="黑体"/>
              <w:sz w:val="28"/>
              <w:szCs w:val="28"/>
            </w:rPr>
            <w:t>（四）评分方法</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_Toc10608 \h </w:instrText>
          </w:r>
          <w:r>
            <w:rPr>
              <w:rFonts w:hint="eastAsia" w:ascii="黑体" w:hAnsi="黑体" w:eastAsia="黑体" w:cs="黑体"/>
              <w:sz w:val="28"/>
              <w:szCs w:val="28"/>
            </w:rPr>
            <w:fldChar w:fldCharType="separate"/>
          </w:r>
          <w:r>
            <w:rPr>
              <w:rFonts w:hint="eastAsia" w:ascii="黑体" w:hAnsi="黑体" w:eastAsia="黑体" w:cs="黑体"/>
              <w:sz w:val="28"/>
              <w:szCs w:val="28"/>
            </w:rPr>
            <w:t>- 4 -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3"/>
            <w:tabs>
              <w:tab w:val="right" w:leader="dot" w:pos="8306"/>
            </w:tabs>
            <w:rPr>
              <w:rFonts w:ascii="黑体" w:hAnsi="黑体" w:eastAsia="黑体" w:cs="黑体"/>
              <w:sz w:val="28"/>
              <w:szCs w:val="28"/>
            </w:rPr>
          </w:pPr>
          <w:r>
            <w:fldChar w:fldCharType="begin"/>
          </w:r>
          <w:r>
            <w:instrText xml:space="preserve"> HYPERLINK \l "_Toc2046" </w:instrText>
          </w:r>
          <w:r>
            <w:fldChar w:fldCharType="separate"/>
          </w:r>
          <w:r>
            <w:rPr>
              <w:rFonts w:hint="eastAsia" w:ascii="黑体" w:hAnsi="黑体" w:eastAsia="黑体" w:cs="黑体"/>
              <w:sz w:val="28"/>
              <w:szCs w:val="28"/>
            </w:rPr>
            <w:t>（五）绩效自评工作组织</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_Toc2046 \h </w:instrText>
          </w:r>
          <w:r>
            <w:rPr>
              <w:rFonts w:hint="eastAsia" w:ascii="黑体" w:hAnsi="黑体" w:eastAsia="黑体" w:cs="黑体"/>
              <w:sz w:val="28"/>
              <w:szCs w:val="28"/>
            </w:rPr>
            <w:fldChar w:fldCharType="separate"/>
          </w:r>
          <w:r>
            <w:rPr>
              <w:rFonts w:hint="eastAsia" w:ascii="黑体" w:hAnsi="黑体" w:eastAsia="黑体" w:cs="黑体"/>
              <w:sz w:val="28"/>
              <w:szCs w:val="28"/>
            </w:rPr>
            <w:t>- 5 -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"_Toc32132" </w:instrText>
          </w:r>
          <w:r>
            <w:fldChar w:fldCharType="separate"/>
          </w:r>
          <w:r>
            <w:rPr>
              <w:rFonts w:hint="eastAsia" w:ascii="黑体" w:hAnsi="黑体" w:eastAsia="黑体" w:cs="黑体"/>
              <w:sz w:val="28"/>
              <w:szCs w:val="28"/>
            </w:rPr>
            <w:t>三、</w:t>
          </w:r>
          <w:r>
            <w:rPr>
              <w:rFonts w:hint="eastAsia" w:ascii="黑体" w:hAnsi="黑体" w:eastAsia="黑体" w:cs="黑体"/>
              <w:sz w:val="28"/>
              <w:szCs w:val="28"/>
              <w:lang w:val="zh-CN"/>
            </w:rPr>
            <w:t>科室自评结果</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_Toc32132 \h </w:instrText>
          </w:r>
          <w:r>
            <w:rPr>
              <w:rFonts w:hint="eastAsia" w:ascii="黑体" w:hAnsi="黑体" w:eastAsia="黑体" w:cs="黑体"/>
              <w:sz w:val="28"/>
              <w:szCs w:val="28"/>
            </w:rPr>
            <w:fldChar w:fldCharType="separate"/>
          </w:r>
          <w:r>
            <w:rPr>
              <w:rFonts w:hint="eastAsia" w:ascii="黑体" w:hAnsi="黑体" w:eastAsia="黑体" w:cs="黑体"/>
              <w:sz w:val="28"/>
              <w:szCs w:val="28"/>
            </w:rPr>
            <w:t>- 5 -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3"/>
            <w:tabs>
              <w:tab w:val="right" w:leader="dot" w:pos="8306"/>
            </w:tabs>
            <w:rPr>
              <w:rFonts w:ascii="黑体" w:hAnsi="黑体" w:eastAsia="黑体" w:cs="黑体"/>
              <w:sz w:val="28"/>
              <w:szCs w:val="28"/>
            </w:rPr>
          </w:pPr>
          <w:r>
            <w:fldChar w:fldCharType="begin"/>
          </w:r>
          <w:r>
            <w:instrText xml:space="preserve"> HYPERLINK \l "_Toc17940" </w:instrText>
          </w:r>
          <w:r>
            <w:fldChar w:fldCharType="separate"/>
          </w:r>
          <w:r>
            <w:rPr>
              <w:rFonts w:hint="eastAsia" w:ascii="黑体" w:hAnsi="黑体" w:eastAsia="黑体" w:cs="黑体"/>
              <w:sz w:val="28"/>
              <w:szCs w:val="28"/>
              <w:lang w:val="zh-CN"/>
            </w:rPr>
            <w:t>（一）自评结果</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_Toc17940 \h </w:instrText>
          </w:r>
          <w:r>
            <w:rPr>
              <w:rFonts w:hint="eastAsia" w:ascii="黑体" w:hAnsi="黑体" w:eastAsia="黑体" w:cs="黑体"/>
              <w:sz w:val="28"/>
              <w:szCs w:val="28"/>
            </w:rPr>
            <w:fldChar w:fldCharType="separate"/>
          </w:r>
          <w:r>
            <w:rPr>
              <w:rFonts w:hint="eastAsia" w:ascii="黑体" w:hAnsi="黑体" w:eastAsia="黑体" w:cs="黑体"/>
              <w:sz w:val="28"/>
              <w:szCs w:val="28"/>
            </w:rPr>
            <w:t>- 5 -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"_Toc21228" </w:instrText>
          </w:r>
          <w:r>
            <w:fldChar w:fldCharType="separate"/>
          </w:r>
          <w:r>
            <w:rPr>
              <w:rFonts w:hint="eastAsia" w:ascii="黑体" w:hAnsi="黑体" w:eastAsia="黑体" w:cs="黑体"/>
              <w:sz w:val="28"/>
              <w:szCs w:val="28"/>
              <w:lang w:val="zh-CN"/>
            </w:rPr>
            <w:t>四、 自评发现的问题及整改措施</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_Toc21228 \h </w:instrText>
          </w:r>
          <w:r>
            <w:rPr>
              <w:rFonts w:hint="eastAsia" w:ascii="黑体" w:hAnsi="黑体" w:eastAsia="黑体" w:cs="黑体"/>
              <w:sz w:val="28"/>
              <w:szCs w:val="28"/>
            </w:rPr>
            <w:fldChar w:fldCharType="separate"/>
          </w:r>
          <w:r>
            <w:rPr>
              <w:rFonts w:hint="eastAsia" w:ascii="黑体" w:hAnsi="黑体" w:eastAsia="黑体" w:cs="黑体"/>
              <w:sz w:val="28"/>
              <w:szCs w:val="28"/>
            </w:rPr>
            <w:t>- 7 -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"_Toc18879" </w:instrText>
          </w:r>
          <w:r>
            <w:fldChar w:fldCharType="separate"/>
          </w:r>
          <w:r>
            <w:rPr>
              <w:rFonts w:hint="eastAsia" w:ascii="黑体" w:hAnsi="黑体" w:eastAsia="黑体" w:cs="黑体"/>
              <w:sz w:val="28"/>
              <w:szCs w:val="28"/>
              <w:lang w:val="zh-CN"/>
            </w:rPr>
            <w:t>五、 绩效自评工作建议及预算安排建议</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_Toc18879 \h </w:instrText>
          </w:r>
          <w:r>
            <w:rPr>
              <w:rFonts w:hint="eastAsia" w:ascii="黑体" w:hAnsi="黑体" w:eastAsia="黑体" w:cs="黑体"/>
              <w:sz w:val="28"/>
              <w:szCs w:val="28"/>
            </w:rPr>
            <w:fldChar w:fldCharType="separate"/>
          </w:r>
          <w:r>
            <w:rPr>
              <w:rFonts w:hint="eastAsia" w:ascii="黑体" w:hAnsi="黑体" w:eastAsia="黑体" w:cs="黑体"/>
              <w:sz w:val="28"/>
              <w:szCs w:val="28"/>
            </w:rPr>
            <w:t>- 7 -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"_Toc15444" </w:instrText>
          </w:r>
          <w:r>
            <w:fldChar w:fldCharType="separate"/>
          </w:r>
          <w:r>
            <w:rPr>
              <w:rFonts w:hint="eastAsia" w:ascii="黑体" w:hAnsi="黑体" w:eastAsia="黑体" w:cs="黑体"/>
              <w:sz w:val="28"/>
              <w:szCs w:val="28"/>
              <w:lang w:val="zh-CN"/>
            </w:rPr>
            <w:t>六、 其他需要说明的问题</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_Toc15444 \h </w:instrText>
          </w:r>
          <w:r>
            <w:rPr>
              <w:rFonts w:hint="eastAsia" w:ascii="黑体" w:hAnsi="黑体" w:eastAsia="黑体" w:cs="黑体"/>
              <w:sz w:val="28"/>
              <w:szCs w:val="28"/>
            </w:rPr>
            <w:fldChar w:fldCharType="separate"/>
          </w:r>
          <w:r>
            <w:rPr>
              <w:rFonts w:hint="eastAsia" w:ascii="黑体" w:hAnsi="黑体" w:eastAsia="黑体" w:cs="黑体"/>
              <w:sz w:val="28"/>
              <w:szCs w:val="28"/>
            </w:rPr>
            <w:t>- 8 -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spacing w:line="360" w:lineRule="auto"/>
            <w:jc w:val="center"/>
            <w:rPr>
              <w:rFonts w:ascii="华文中宋" w:hAnsi="华文中宋" w:eastAsia="华文中宋" w:cs="方正小标宋简体"/>
              <w:b/>
              <w:szCs w:val="44"/>
            </w:rPr>
          </w:pPr>
          <w:r>
            <w:rPr>
              <w:rFonts w:hint="eastAsia" w:ascii="黑体" w:hAnsi="黑体" w:eastAsia="黑体" w:cs="黑体"/>
              <w:szCs w:val="28"/>
            </w:rPr>
            <w:fldChar w:fldCharType="end"/>
          </w:r>
        </w:p>
      </w:sdtContent>
    </w:sdt>
    <w:p>
      <w:pPr>
        <w:widowControl/>
        <w:tabs>
          <w:tab w:val="left" w:pos="6997"/>
        </w:tabs>
        <w:jc w:val="left"/>
        <w:sectPr>
          <w:footerReference r:id="rId3" w:type="default"/>
          <w:pgSz w:w="11906" w:h="16838"/>
          <w:pgMar w:top="1440" w:right="1800" w:bottom="1440" w:left="1800" w:header="851" w:footer="992" w:gutter="0"/>
          <w:pgNumType w:fmt="upperRoman" w:start="1"/>
          <w:cols w:space="425" w:num="1"/>
          <w:docGrid w:type="lines" w:linePitch="312" w:charSpace="0"/>
        </w:sectPr>
      </w:pPr>
      <w:r>
        <w:rPr>
          <w:rFonts w:hint="eastAsia"/>
        </w:rPr>
        <w:tab/>
      </w:r>
    </w:p>
    <w:bookmarkEnd w:id="0"/>
    <w:p>
      <w:pPr>
        <w:spacing w:line="360" w:lineRule="auto"/>
        <w:jc w:val="center"/>
        <w:outlineLvl w:val="0"/>
        <w:rPr>
          <w:rFonts w:ascii="华文中宋" w:hAnsi="华文中宋" w:eastAsia="华文中宋" w:cs="方正小标宋简体"/>
          <w:b/>
          <w:sz w:val="44"/>
          <w:szCs w:val="44"/>
        </w:rPr>
      </w:pPr>
      <w:bookmarkStart w:id="1" w:name="_Toc4141"/>
      <w:bookmarkStart w:id="2" w:name="_Toc11652"/>
      <w:r>
        <w:rPr>
          <w:rFonts w:hint="eastAsia" w:ascii="华文中宋" w:hAnsi="华文中宋" w:eastAsia="华文中宋" w:cs="方正小标宋简体"/>
          <w:b/>
          <w:sz w:val="44"/>
          <w:szCs w:val="44"/>
        </w:rPr>
        <w:t>三门峡市市场监督管理局</w:t>
      </w:r>
      <w:bookmarkEnd w:id="1"/>
      <w:bookmarkEnd w:id="2"/>
    </w:p>
    <w:p>
      <w:pPr>
        <w:spacing w:line="360" w:lineRule="auto"/>
        <w:jc w:val="center"/>
        <w:outlineLvl w:val="0"/>
        <w:rPr>
          <w:rFonts w:ascii="华文中宋" w:hAnsi="华文中宋" w:eastAsia="华文中宋" w:cs="方正小标宋简体"/>
          <w:b/>
          <w:sz w:val="44"/>
          <w:szCs w:val="44"/>
        </w:rPr>
      </w:pPr>
      <w:bookmarkStart w:id="3" w:name="_Toc5818"/>
      <w:bookmarkStart w:id="4" w:name="_Toc851"/>
      <w:bookmarkStart w:id="5" w:name="_Toc31605"/>
      <w:bookmarkStart w:id="6" w:name="_Toc15802"/>
      <w:bookmarkStart w:id="7" w:name="_Toc24313"/>
      <w:bookmarkStart w:id="8" w:name="_Toc23711"/>
      <w:bookmarkStart w:id="9" w:name="_Toc14085"/>
      <w:bookmarkStart w:id="10" w:name="_Toc27784"/>
      <w:r>
        <w:rPr>
          <w:rFonts w:hint="eastAsia" w:ascii="华文中宋" w:hAnsi="华文中宋" w:eastAsia="华文中宋" w:cs="方正小标宋简体"/>
          <w:b/>
          <w:sz w:val="44"/>
          <w:szCs w:val="44"/>
        </w:rPr>
        <w:t>202</w:t>
      </w:r>
      <w:r>
        <w:rPr>
          <w:rFonts w:hint="eastAsia" w:ascii="华文中宋" w:hAnsi="华文中宋" w:eastAsia="华文中宋" w:cs="方正小标宋简体"/>
          <w:b/>
          <w:sz w:val="44"/>
          <w:szCs w:val="44"/>
          <w:lang w:val="en-US" w:eastAsia="zh-CN"/>
        </w:rPr>
        <w:t>1</w:t>
      </w:r>
      <w:r>
        <w:rPr>
          <w:rFonts w:hint="eastAsia" w:ascii="华文中宋" w:hAnsi="华文中宋" w:eastAsia="华文中宋" w:cs="方正小标宋简体"/>
          <w:b/>
          <w:sz w:val="44"/>
          <w:szCs w:val="44"/>
        </w:rPr>
        <w:t>年度项目支出自评报告</w:t>
      </w:r>
      <w:bookmarkEnd w:id="3"/>
      <w:bookmarkEnd w:id="4"/>
      <w:bookmarkEnd w:id="5"/>
      <w:bookmarkEnd w:id="6"/>
      <w:bookmarkEnd w:id="7"/>
      <w:bookmarkEnd w:id="8"/>
      <w:bookmarkEnd w:id="9"/>
      <w:bookmarkEnd w:id="10"/>
    </w:p>
    <w:p>
      <w:pPr>
        <w:widowControl/>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为深入贯彻落实</w:t>
      </w:r>
      <w:r>
        <w:rPr>
          <w:rFonts w:ascii="仿宋_GB2312" w:eastAsia="仿宋_GB2312" w:cs="仿宋_GB2312"/>
          <w:sz w:val="32"/>
          <w:szCs w:val="32"/>
          <w:lang w:val="zh-CN"/>
        </w:rPr>
        <w:t>《中共</w:t>
      </w:r>
      <w:r>
        <w:rPr>
          <w:rFonts w:hint="eastAsia" w:ascii="仿宋_GB2312" w:eastAsia="仿宋_GB2312" w:cs="仿宋_GB2312"/>
          <w:sz w:val="32"/>
          <w:szCs w:val="32"/>
          <w:lang w:val="zh-CN"/>
        </w:rPr>
        <w:t>三门峡市</w:t>
      </w:r>
      <w:r>
        <w:rPr>
          <w:rFonts w:ascii="仿宋_GB2312" w:eastAsia="仿宋_GB2312" w:cs="仿宋_GB2312"/>
          <w:sz w:val="32"/>
          <w:szCs w:val="32"/>
          <w:lang w:val="zh-CN"/>
        </w:rPr>
        <w:t>委</w:t>
      </w:r>
      <w:r>
        <w:rPr>
          <w:rFonts w:hint="eastAsia" w:ascii="仿宋_GB2312" w:eastAsia="仿宋_GB2312" w:cs="仿宋_GB2312"/>
          <w:sz w:val="32"/>
          <w:szCs w:val="32"/>
          <w:lang w:val="zh-CN"/>
        </w:rPr>
        <w:t>三门峡市</w:t>
      </w:r>
      <w:r>
        <w:rPr>
          <w:rFonts w:ascii="仿宋_GB2312" w:eastAsia="仿宋_GB2312" w:cs="仿宋_GB2312"/>
          <w:sz w:val="32"/>
          <w:szCs w:val="32"/>
          <w:lang w:val="zh-CN"/>
        </w:rPr>
        <w:t>人民政府关于全面实施预算绩效管理的实施意见》</w:t>
      </w:r>
      <w:r>
        <w:rPr>
          <w:rFonts w:hint="eastAsia" w:ascii="仿宋_GB2312" w:eastAsia="仿宋_GB2312" w:cs="仿宋_GB2312"/>
          <w:sz w:val="32"/>
          <w:szCs w:val="32"/>
        </w:rPr>
        <w:t>有关要求，健全绩效评价常态化机制，强化部门预算绩效管理主体责任，提高财政资金使用效益。按照《</w:t>
      </w:r>
      <w:r>
        <w:rPr>
          <w:rFonts w:hint="eastAsia" w:ascii="仿宋_GB2312" w:eastAsia="仿宋_GB2312" w:cs="仿宋_GB2312"/>
          <w:sz w:val="32"/>
          <w:szCs w:val="32"/>
          <w:lang w:val="zh-CN"/>
        </w:rPr>
        <w:t>三门峡市</w:t>
      </w:r>
      <w:r>
        <w:rPr>
          <w:rFonts w:ascii="仿宋_GB2312" w:eastAsia="仿宋_GB2312" w:cs="仿宋_GB2312"/>
          <w:sz w:val="32"/>
          <w:szCs w:val="32"/>
          <w:lang w:val="zh-CN"/>
        </w:rPr>
        <w:t>财政局关于开展202</w:t>
      </w:r>
      <w:r>
        <w:rPr>
          <w:rFonts w:hint="eastAsia" w:ascii="仿宋_GB2312" w:eastAsia="仿宋_GB2312" w:cs="仿宋_GB2312"/>
          <w:sz w:val="32"/>
          <w:szCs w:val="32"/>
          <w:lang w:val="en-US" w:eastAsia="zh-CN"/>
        </w:rPr>
        <w:t>1</w:t>
      </w:r>
      <w:r>
        <w:rPr>
          <w:rFonts w:ascii="仿宋_GB2312" w:eastAsia="仿宋_GB2312" w:cs="仿宋_GB2312"/>
          <w:sz w:val="32"/>
          <w:szCs w:val="32"/>
          <w:lang w:val="zh-CN"/>
        </w:rPr>
        <w:t>年度市级预算绩效自评工作的通知</w:t>
      </w:r>
      <w:r>
        <w:rPr>
          <w:rFonts w:hint="eastAsia" w:ascii="仿宋_GB2312" w:eastAsia="仿宋_GB2312" w:cs="仿宋_GB2312"/>
          <w:sz w:val="32"/>
          <w:szCs w:val="32"/>
        </w:rPr>
        <w:t>》（</w:t>
      </w:r>
      <w:r>
        <w:rPr>
          <w:rFonts w:ascii="仿宋_GB2312" w:eastAsia="仿宋_GB2312" w:cs="仿宋_GB2312"/>
          <w:sz w:val="32"/>
          <w:szCs w:val="32"/>
          <w:lang w:val="zh-CN"/>
        </w:rPr>
        <w:t>三财效〔202</w:t>
      </w:r>
      <w:r>
        <w:rPr>
          <w:rFonts w:hint="eastAsia" w:ascii="仿宋_GB2312" w:eastAsia="仿宋_GB2312" w:cs="仿宋_GB2312"/>
          <w:sz w:val="32"/>
          <w:szCs w:val="32"/>
          <w:lang w:val="en-US" w:eastAsia="zh-CN"/>
        </w:rPr>
        <w:t>2</w:t>
      </w:r>
      <w:r>
        <w:rPr>
          <w:rFonts w:ascii="仿宋_GB2312" w:eastAsia="仿宋_GB2312" w:cs="仿宋_GB2312"/>
          <w:sz w:val="32"/>
          <w:szCs w:val="32"/>
          <w:lang w:val="zh-CN"/>
        </w:rPr>
        <w:t>〕3号</w:t>
      </w:r>
      <w:r>
        <w:rPr>
          <w:rFonts w:hint="eastAsia" w:ascii="仿宋_GB2312" w:eastAsia="仿宋_GB2312" w:cs="仿宋_GB2312"/>
          <w:sz w:val="32"/>
          <w:szCs w:val="32"/>
        </w:rPr>
        <w:t>）文件的相关要求，我单位高度重视，成立了绩效自评工作领导小组，通过基础资料收集、问卷调查、数据汇总分析等工作程序，对部门整体的情况进行全面了解，根据</w:t>
      </w:r>
      <w:r>
        <w:rPr>
          <w:rFonts w:ascii="仿宋_GB2312" w:eastAsia="仿宋_GB2312" w:cs="仿宋_GB2312"/>
          <w:sz w:val="32"/>
          <w:szCs w:val="32"/>
          <w:lang w:val="zh-CN"/>
        </w:rPr>
        <w:t>三财效〔202</w:t>
      </w:r>
      <w:r>
        <w:rPr>
          <w:rFonts w:hint="eastAsia" w:ascii="仿宋_GB2312" w:eastAsia="仿宋_GB2312" w:cs="仿宋_GB2312"/>
          <w:sz w:val="32"/>
          <w:szCs w:val="32"/>
          <w:lang w:val="en-US" w:eastAsia="zh-CN"/>
        </w:rPr>
        <w:t>2</w:t>
      </w:r>
      <w:r>
        <w:rPr>
          <w:rFonts w:ascii="仿宋_GB2312" w:eastAsia="仿宋_GB2312" w:cs="仿宋_GB2312"/>
          <w:sz w:val="32"/>
          <w:szCs w:val="32"/>
          <w:lang w:val="zh-CN"/>
        </w:rPr>
        <w:t>〕3号</w:t>
      </w:r>
      <w:r>
        <w:rPr>
          <w:rFonts w:hint="eastAsia" w:ascii="仿宋_GB2312" w:eastAsia="仿宋_GB2312" w:cs="仿宋_GB2312"/>
          <w:sz w:val="32"/>
          <w:szCs w:val="32"/>
        </w:rPr>
        <w:t>文件要求，形成如下绩效自评报告。现将有关情况报告如下：</w:t>
      </w:r>
    </w:p>
    <w:p>
      <w:pPr>
        <w:pStyle w:val="5"/>
        <w:keepNext w:val="0"/>
        <w:keepLines w:val="0"/>
        <w:spacing w:before="0" w:after="0" w:line="360" w:lineRule="auto"/>
        <w:rPr>
          <w:rFonts w:ascii="黑体" w:hAnsi="黑体" w:eastAsia="黑体" w:cs="黑体"/>
          <w:sz w:val="32"/>
          <w:szCs w:val="32"/>
        </w:rPr>
      </w:pPr>
      <w:bookmarkStart w:id="11" w:name="_Toc15017"/>
      <w:bookmarkStart w:id="12" w:name="_Toc13873"/>
      <w:bookmarkStart w:id="13" w:name="_Toc587"/>
      <w:r>
        <w:rPr>
          <w:rFonts w:hint="eastAsia" w:ascii="黑体" w:hAnsi="黑体" w:eastAsia="黑体" w:cs="黑体"/>
          <w:sz w:val="32"/>
          <w:szCs w:val="32"/>
        </w:rPr>
        <w:t>一、项目支出基本情况</w:t>
      </w:r>
      <w:bookmarkEnd w:id="11"/>
      <w:bookmarkEnd w:id="12"/>
      <w:bookmarkEnd w:id="13"/>
    </w:p>
    <w:p>
      <w:pPr>
        <w:pStyle w:val="6"/>
        <w:keepNext w:val="0"/>
        <w:keepLines w:val="0"/>
        <w:adjustRightInd/>
        <w:snapToGrid/>
        <w:spacing w:before="0" w:after="0"/>
        <w:rPr>
          <w:rFonts w:ascii="黑体" w:hAnsi="黑体" w:eastAsia="黑体" w:cs="黑体"/>
          <w:sz w:val="30"/>
          <w:szCs w:val="30"/>
        </w:rPr>
      </w:pPr>
      <w:bookmarkStart w:id="14" w:name="_Toc19332"/>
      <w:bookmarkStart w:id="15" w:name="_Toc1381"/>
      <w:bookmarkStart w:id="16" w:name="_Toc7982"/>
      <w:r>
        <w:rPr>
          <w:rFonts w:hint="eastAsia" w:ascii="黑体" w:hAnsi="黑体" w:eastAsia="黑体" w:cs="黑体"/>
          <w:sz w:val="30"/>
          <w:szCs w:val="30"/>
        </w:rPr>
        <w:t>（一）项目</w:t>
      </w:r>
      <w:r>
        <w:rPr>
          <w:rFonts w:hint="eastAsia" w:ascii="黑体" w:hAnsi="黑体" w:eastAsia="黑体" w:cs="黑体"/>
        </w:rPr>
        <w:t>支出</w:t>
      </w:r>
      <w:r>
        <w:rPr>
          <w:rFonts w:hint="eastAsia" w:ascii="黑体" w:hAnsi="黑体" w:eastAsia="黑体" w:cs="黑体"/>
          <w:sz w:val="30"/>
          <w:szCs w:val="30"/>
        </w:rPr>
        <w:t>预算和执行情况</w:t>
      </w:r>
      <w:bookmarkEnd w:id="14"/>
      <w:bookmarkEnd w:id="15"/>
      <w:bookmarkEnd w:id="16"/>
    </w:p>
    <w:p>
      <w:pPr>
        <w:widowControl/>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三门峡市市场监督管理局</w:t>
      </w:r>
      <w:r>
        <w:rPr>
          <w:rFonts w:ascii="仿宋_GB2312" w:eastAsia="仿宋_GB2312" w:cs="仿宋_GB2312"/>
          <w:sz w:val="32"/>
          <w:szCs w:val="32"/>
          <w:lang w:val="zh-CN"/>
        </w:rPr>
        <w:t>主要职责</w:t>
      </w:r>
      <w:r>
        <w:rPr>
          <w:rFonts w:hint="eastAsia" w:ascii="仿宋_GB2312" w:eastAsia="仿宋_GB2312" w:cs="仿宋_GB2312"/>
          <w:sz w:val="32"/>
          <w:szCs w:val="32"/>
        </w:rPr>
        <w:t>为负责组织开展食品、特种设备、产品质量安全、反垄断、反不正当竞争、价格监督、网络交易监管、广告监管、知识产权保护、消费者权益保护等各类行政执法及相关检查、调查、宣传、培训等工作，加大市场监管综合执法力度，促进市场公平竞争，维护市场正常秩序，维护消费者利益和社会公共利益。</w:t>
      </w:r>
    </w:p>
    <w:p>
      <w:pPr>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lang w:eastAsia="zh-CN"/>
        </w:rPr>
        <w:t>市场监管</w:t>
      </w:r>
      <w:r>
        <w:rPr>
          <w:rFonts w:hint="eastAsia" w:ascii="仿宋_GB2312" w:eastAsia="仿宋_GB2312" w:cs="仿宋_GB2312"/>
          <w:sz w:val="32"/>
          <w:szCs w:val="32"/>
        </w:rPr>
        <w:t>机关后勤经费年初预算数为</w:t>
      </w:r>
      <w:r>
        <w:rPr>
          <w:rFonts w:hint="eastAsia" w:ascii="仿宋_GB2312" w:eastAsia="仿宋_GB2312" w:cs="仿宋_GB2312"/>
          <w:sz w:val="32"/>
          <w:szCs w:val="32"/>
          <w:lang w:val="en-US" w:eastAsia="zh-CN"/>
        </w:rPr>
        <w:t>63.5</w:t>
      </w:r>
      <w:r>
        <w:rPr>
          <w:rFonts w:hint="eastAsia" w:ascii="仿宋_GB2312" w:eastAsia="仿宋_GB2312" w:cs="仿宋_GB2312"/>
          <w:sz w:val="32"/>
          <w:szCs w:val="32"/>
        </w:rPr>
        <w:t>万元，全年财政拨款</w:t>
      </w:r>
      <w:r>
        <w:rPr>
          <w:rFonts w:hint="eastAsia" w:ascii="仿宋_GB2312" w:eastAsia="仿宋_GB2312" w:cs="仿宋_GB2312"/>
          <w:sz w:val="32"/>
          <w:szCs w:val="32"/>
          <w:lang w:val="en-US" w:eastAsia="zh-CN"/>
        </w:rPr>
        <w:t>55.5</w:t>
      </w:r>
      <w:r>
        <w:rPr>
          <w:rFonts w:hint="eastAsia" w:ascii="仿宋_GB2312" w:eastAsia="仿宋_GB2312" w:cs="仿宋_GB2312"/>
          <w:sz w:val="32"/>
          <w:szCs w:val="32"/>
        </w:rPr>
        <w:t>万元，全年项目实际支出</w:t>
      </w:r>
      <w:r>
        <w:rPr>
          <w:rFonts w:hint="eastAsia" w:ascii="仿宋_GB2312" w:eastAsia="仿宋_GB2312" w:cs="仿宋_GB2312"/>
          <w:sz w:val="32"/>
          <w:szCs w:val="32"/>
          <w:lang w:val="en-US" w:eastAsia="zh-CN"/>
        </w:rPr>
        <w:t>55.5</w:t>
      </w:r>
      <w:r>
        <w:rPr>
          <w:rFonts w:hint="eastAsia" w:ascii="仿宋_GB2312" w:eastAsia="仿宋_GB2312" w:cs="仿宋_GB2312"/>
          <w:sz w:val="32"/>
          <w:szCs w:val="32"/>
        </w:rPr>
        <w:t>万元，预算执行率100%</w:t>
      </w:r>
    </w:p>
    <w:p>
      <w:pPr>
        <w:pStyle w:val="6"/>
        <w:keepNext w:val="0"/>
        <w:keepLines w:val="0"/>
        <w:adjustRightInd/>
        <w:snapToGrid/>
        <w:spacing w:before="0" w:after="0"/>
        <w:rPr>
          <w:rFonts w:ascii="黑体" w:hAnsi="黑体" w:eastAsia="黑体" w:cs="黑体"/>
          <w:sz w:val="30"/>
          <w:szCs w:val="30"/>
        </w:rPr>
      </w:pPr>
      <w:bookmarkStart w:id="17" w:name="_Toc27189"/>
      <w:bookmarkStart w:id="18" w:name="_Toc843"/>
      <w:bookmarkStart w:id="19" w:name="_Toc839"/>
      <w:r>
        <w:rPr>
          <w:rFonts w:hint="eastAsia" w:ascii="黑体" w:hAnsi="黑体" w:eastAsia="黑体" w:cs="黑体"/>
          <w:sz w:val="30"/>
          <w:szCs w:val="30"/>
        </w:rPr>
        <w:t>（二）项目内容</w:t>
      </w:r>
      <w:bookmarkEnd w:id="17"/>
      <w:bookmarkEnd w:id="18"/>
      <w:bookmarkEnd w:id="19"/>
    </w:p>
    <w:p>
      <w:pPr>
        <w:widowControl/>
        <w:shd w:val="clear" w:color="auto" w:fill="FFFFFF"/>
        <w:spacing w:line="360" w:lineRule="auto"/>
        <w:ind w:firstLine="640" w:firstLineChars="200"/>
        <w:rPr>
          <w:rFonts w:ascii="仿宋_GB2312" w:eastAsia="仿宋_GB2312" w:cs="仿宋_GB2312"/>
          <w:sz w:val="32"/>
          <w:szCs w:val="32"/>
        </w:rPr>
      </w:pPr>
      <w:bookmarkStart w:id="20" w:name="_Toc23203"/>
      <w:bookmarkStart w:id="21" w:name="_Toc18257"/>
      <w:r>
        <w:rPr>
          <w:rFonts w:hint="eastAsia" w:ascii="仿宋_GB2312" w:eastAsia="仿宋_GB2312" w:cs="仿宋_GB2312"/>
          <w:sz w:val="32"/>
          <w:szCs w:val="32"/>
        </w:rPr>
        <w:t>机关后勤管理工作按照围绕中心、服务大局的思想，切实履行后勤保障的职责，做好机关后勤物业管理工作</w:t>
      </w:r>
      <w:r>
        <w:rPr>
          <w:rFonts w:hint="eastAsia" w:ascii="仿宋_GB2312" w:eastAsia="仿宋_GB2312" w:cs="仿宋_GB2312"/>
          <w:sz w:val="32"/>
          <w:szCs w:val="32"/>
          <w:lang w:eastAsia="zh-CN"/>
        </w:rPr>
        <w:t>，</w:t>
      </w:r>
      <w:r>
        <w:rPr>
          <w:rFonts w:hint="eastAsia" w:ascii="仿宋_GB2312" w:eastAsia="仿宋_GB2312" w:cs="仿宋_GB2312"/>
          <w:sz w:val="32"/>
          <w:szCs w:val="32"/>
        </w:rPr>
        <w:t>保障单位办公正常运转与全体党员和干部职工工作的有序开展，从而满足服务群众工作的基本需求，使机关日常工作能够顺利进行</w:t>
      </w:r>
      <w:r>
        <w:rPr>
          <w:rFonts w:hint="eastAsia" w:ascii="仿宋_GB2312" w:eastAsia="仿宋_GB2312" w:cs="仿宋_GB2312"/>
          <w:sz w:val="32"/>
          <w:szCs w:val="32"/>
          <w:lang w:eastAsia="zh-CN"/>
        </w:rPr>
        <w:t>。保安人员要</w:t>
      </w:r>
      <w:r>
        <w:rPr>
          <w:rFonts w:hint="eastAsia" w:ascii="仿宋_GB2312" w:hAnsi="仿宋_GB2312" w:eastAsia="仿宋_GB2312" w:cs="仿宋_GB2312"/>
          <w:b w:val="0"/>
          <w:bCs w:val="0"/>
          <w:color w:val="auto"/>
          <w:sz w:val="32"/>
          <w:szCs w:val="32"/>
        </w:rPr>
        <w:t>做好安全保卫工作</w:t>
      </w:r>
      <w:r>
        <w:rPr>
          <w:rFonts w:hint="eastAsia" w:ascii="仿宋_GB2312" w:hAnsi="仿宋_GB2312" w:eastAsia="仿宋_GB2312" w:cs="仿宋_GB2312"/>
          <w:b w:val="0"/>
          <w:bCs w:val="0"/>
          <w:color w:val="auto"/>
          <w:sz w:val="32"/>
          <w:szCs w:val="32"/>
          <w:lang w:eastAsia="zh-CN"/>
        </w:rPr>
        <w:t>，做到</w:t>
      </w:r>
      <w:r>
        <w:rPr>
          <w:rFonts w:hint="eastAsia" w:ascii="仿宋_GB2312" w:hAnsi="仿宋_GB2312" w:eastAsia="仿宋_GB2312" w:cs="仿宋_GB2312"/>
          <w:b w:val="0"/>
          <w:bCs w:val="0"/>
          <w:color w:val="auto"/>
          <w:sz w:val="32"/>
          <w:szCs w:val="32"/>
          <w:lang w:val="en-US" w:eastAsia="zh-CN"/>
        </w:rPr>
        <w:t>24小时</w:t>
      </w:r>
      <w:r>
        <w:rPr>
          <w:rFonts w:hint="eastAsia" w:ascii="仿宋_GB2312" w:hAnsi="仿宋_GB2312" w:eastAsia="仿宋_GB2312" w:cs="仿宋_GB2312"/>
          <w:b w:val="0"/>
          <w:bCs w:val="0"/>
          <w:color w:val="auto"/>
          <w:sz w:val="32"/>
          <w:szCs w:val="32"/>
          <w:lang w:eastAsia="zh-CN"/>
        </w:rPr>
        <w:t>日常巡逻值守，做好外来人员登记，协助单位做好应急事件的处理；加强疫情防控工作，安排专人每天值班，严格扫码登记制度。保洁人员做好机关办公楼内公共区域卫生保洁，打扫局院内环境卫生以及绿化修剪，对公共区域实行酒精和</w:t>
      </w:r>
      <w:r>
        <w:rPr>
          <w:rFonts w:hint="eastAsia" w:ascii="仿宋_GB2312" w:hAnsi="仿宋_GB2312" w:eastAsia="仿宋_GB2312" w:cs="仿宋_GB2312"/>
          <w:b w:val="0"/>
          <w:bCs w:val="0"/>
          <w:color w:val="auto"/>
          <w:sz w:val="32"/>
          <w:szCs w:val="32"/>
          <w:lang w:val="en-US" w:eastAsia="zh-CN"/>
        </w:rPr>
        <w:t>84消毒水</w:t>
      </w:r>
      <w:r>
        <w:rPr>
          <w:rFonts w:hint="eastAsia" w:ascii="仿宋_GB2312" w:hAnsi="仿宋_GB2312" w:eastAsia="仿宋_GB2312" w:cs="仿宋_GB2312"/>
          <w:b w:val="0"/>
          <w:bCs w:val="0"/>
          <w:color w:val="auto"/>
          <w:sz w:val="32"/>
          <w:szCs w:val="32"/>
          <w:lang w:eastAsia="zh-CN"/>
        </w:rPr>
        <w:t>交替消杀，确保消毒工作无死角。</w:t>
      </w:r>
      <w:bookmarkStart w:id="80" w:name="_GoBack"/>
      <w:bookmarkEnd w:id="80"/>
    </w:p>
    <w:p>
      <w:pPr>
        <w:pStyle w:val="6"/>
        <w:keepNext w:val="0"/>
        <w:keepLines w:val="0"/>
        <w:adjustRightInd/>
        <w:snapToGrid/>
        <w:spacing w:before="0" w:after="0"/>
        <w:rPr>
          <w:rFonts w:ascii="黑体" w:hAnsi="黑体" w:eastAsia="黑体" w:cs="黑体"/>
          <w:sz w:val="30"/>
          <w:szCs w:val="30"/>
        </w:rPr>
      </w:pPr>
      <w:bookmarkStart w:id="22" w:name="_Toc8896"/>
      <w:r>
        <w:rPr>
          <w:rFonts w:hint="eastAsia" w:ascii="黑体" w:hAnsi="黑体" w:eastAsia="黑体" w:cs="黑体"/>
          <w:sz w:val="30"/>
          <w:szCs w:val="30"/>
        </w:rPr>
        <w:t>（三）绩效目标批复情况</w:t>
      </w:r>
      <w:bookmarkEnd w:id="20"/>
      <w:bookmarkEnd w:id="21"/>
      <w:bookmarkEnd w:id="22"/>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我单位各科室根据历史依据和当年目标任务编制202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项目预算，并结合项目实际情况，按照“谁批复预算，谁批复目标”的原则，编报项目绩效目标申报表。提交市局审核汇总，上报三门峡市财政局审批，三门峡市财政局在市人代会批准部门年度预算后，将绩效目标随部门预算批复部门；部门将批复的绩效目标按预算管理级次细化批复到项目科室，并提出绩效管理具体工作要求。</w:t>
      </w:r>
    </w:p>
    <w:p>
      <w:pPr>
        <w:pStyle w:val="5"/>
        <w:keepNext w:val="0"/>
        <w:keepLines w:val="0"/>
        <w:spacing w:before="0" w:after="0" w:line="360" w:lineRule="auto"/>
        <w:rPr>
          <w:rFonts w:ascii="黑体" w:hAnsi="黑体" w:eastAsia="黑体" w:cs="黑体"/>
          <w:sz w:val="32"/>
          <w:szCs w:val="32"/>
        </w:rPr>
      </w:pPr>
      <w:bookmarkStart w:id="23" w:name="_Toc26306"/>
      <w:bookmarkStart w:id="24" w:name="_Toc28718"/>
      <w:bookmarkStart w:id="25" w:name="_Toc31315"/>
      <w:r>
        <w:rPr>
          <w:rFonts w:hint="eastAsia" w:ascii="黑体" w:hAnsi="黑体" w:eastAsia="黑体" w:cs="黑体"/>
          <w:sz w:val="32"/>
          <w:szCs w:val="32"/>
        </w:rPr>
        <w:t>二、单位</w:t>
      </w:r>
      <w:r>
        <w:rPr>
          <w:rFonts w:ascii="黑体" w:hAnsi="黑体" w:eastAsia="黑体" w:cs="黑体"/>
          <w:sz w:val="32"/>
          <w:szCs w:val="32"/>
        </w:rPr>
        <w:t>自评工作开展情况</w:t>
      </w:r>
      <w:bookmarkEnd w:id="23"/>
      <w:bookmarkEnd w:id="24"/>
      <w:bookmarkEnd w:id="25"/>
    </w:p>
    <w:p>
      <w:pPr>
        <w:pStyle w:val="6"/>
        <w:keepNext w:val="0"/>
        <w:keepLines w:val="0"/>
        <w:adjustRightInd/>
        <w:snapToGrid/>
        <w:spacing w:before="0" w:after="0"/>
        <w:rPr>
          <w:rFonts w:ascii="黑体" w:hAnsi="黑体" w:eastAsia="黑体" w:cs="黑体"/>
          <w:sz w:val="30"/>
          <w:szCs w:val="30"/>
        </w:rPr>
      </w:pPr>
      <w:bookmarkStart w:id="26" w:name="_Toc5861"/>
      <w:bookmarkStart w:id="27" w:name="_Toc31583"/>
      <w:bookmarkStart w:id="28" w:name="_Toc25866"/>
      <w:bookmarkStart w:id="29" w:name="_Toc8544"/>
      <w:bookmarkStart w:id="30" w:name="_Toc12595"/>
      <w:r>
        <w:rPr>
          <w:rFonts w:hint="eastAsia" w:ascii="黑体" w:hAnsi="黑体" w:eastAsia="黑体" w:cs="黑体"/>
          <w:sz w:val="30"/>
          <w:szCs w:val="30"/>
        </w:rPr>
        <w:t>（一）绩效自评目的和意义</w:t>
      </w:r>
      <w:bookmarkEnd w:id="26"/>
      <w:bookmarkEnd w:id="27"/>
      <w:bookmarkEnd w:id="28"/>
      <w:bookmarkEnd w:id="29"/>
      <w:bookmarkEnd w:id="30"/>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预算支出绩效自评是预算单位运用科学、规范的评价方法，对照统一的评价标准，对预算支出的效率和效益进行的自我衡量和综合评价。</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预算支出绩效自评的目的是：通过对绩效目标的综合考评，合理配置资源，优化支出结构，规范预算资金分配，提高财政资源配置效率和使用效益。</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推进预算支出绩效自评的意义是：加强部门及项目预算管理，有利于建设高效透明政府，有利于深化政府管理体制改革。从政府部门管理层面来看，可促进预算单位预算管理的科学性和合理性；从财政部门资金监管层面来看，可深入了解资金投向的明确性和准确性，提高资金使用效率；从项目实施单位来看，可以进一步规范资金使用，提升项目实施效果。</w:t>
      </w:r>
    </w:p>
    <w:p>
      <w:pPr>
        <w:pStyle w:val="6"/>
        <w:keepNext w:val="0"/>
        <w:keepLines w:val="0"/>
        <w:adjustRightInd/>
        <w:snapToGrid/>
        <w:spacing w:before="0" w:after="0"/>
        <w:rPr>
          <w:rFonts w:ascii="黑体" w:hAnsi="黑体" w:eastAsia="黑体" w:cs="黑体"/>
          <w:sz w:val="30"/>
          <w:szCs w:val="30"/>
        </w:rPr>
      </w:pPr>
      <w:bookmarkStart w:id="31" w:name="_Toc9139"/>
      <w:bookmarkStart w:id="32" w:name="_Toc26818"/>
      <w:bookmarkStart w:id="33" w:name="_Toc21569"/>
      <w:bookmarkStart w:id="34" w:name="_Toc22825"/>
      <w:bookmarkStart w:id="35" w:name="_Toc4202"/>
      <w:r>
        <w:rPr>
          <w:rFonts w:hint="eastAsia" w:ascii="黑体" w:hAnsi="黑体" w:eastAsia="黑体" w:cs="黑体"/>
          <w:sz w:val="30"/>
          <w:szCs w:val="30"/>
        </w:rPr>
        <w:t>（二）绩效自评对象和范围</w:t>
      </w:r>
      <w:bookmarkEnd w:id="31"/>
      <w:bookmarkEnd w:id="32"/>
      <w:bookmarkEnd w:id="33"/>
      <w:bookmarkEnd w:id="34"/>
      <w:bookmarkEnd w:id="35"/>
    </w:p>
    <w:p>
      <w:pPr>
        <w:widowControl/>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本次绩效自评对象为机关后勤服务，202</w:t>
      </w:r>
      <w:r>
        <w:rPr>
          <w:rFonts w:hint="eastAsia" w:ascii="仿宋_GB2312" w:eastAsia="仿宋_GB2312" w:cs="仿宋_GB2312"/>
          <w:sz w:val="32"/>
          <w:szCs w:val="32"/>
          <w:lang w:val="en-US" w:eastAsia="zh-CN"/>
        </w:rPr>
        <w:t>1</w:t>
      </w:r>
      <w:r>
        <w:rPr>
          <w:rFonts w:hint="eastAsia" w:ascii="仿宋_GB2312" w:eastAsia="仿宋_GB2312" w:cs="仿宋_GB2312"/>
          <w:sz w:val="32"/>
          <w:szCs w:val="32"/>
        </w:rPr>
        <w:t>年为市场监督局提供机关后勤服务的费用支出，涉及资金</w:t>
      </w:r>
      <w:r>
        <w:rPr>
          <w:rFonts w:hint="eastAsia" w:ascii="仿宋_GB2312" w:eastAsia="仿宋_GB2312" w:cs="仿宋_GB2312"/>
          <w:sz w:val="32"/>
          <w:szCs w:val="32"/>
          <w:lang w:val="en-US" w:eastAsia="zh-CN"/>
        </w:rPr>
        <w:t>55.5</w:t>
      </w:r>
      <w:r>
        <w:rPr>
          <w:rFonts w:ascii="仿宋_GB2312" w:eastAsia="仿宋_GB2312" w:cs="仿宋_GB2312"/>
          <w:sz w:val="32"/>
          <w:szCs w:val="32"/>
        </w:rPr>
        <w:t>万元</w:t>
      </w:r>
      <w:r>
        <w:rPr>
          <w:rFonts w:hint="eastAsia" w:ascii="仿宋_GB2312" w:eastAsia="仿宋_GB2312" w:cs="仿宋_GB2312"/>
          <w:sz w:val="32"/>
          <w:szCs w:val="32"/>
        </w:rPr>
        <w:t>，评价范围为涉及该项目管理及其预算资金使用绩效的相关情况。</w:t>
      </w:r>
    </w:p>
    <w:p>
      <w:pPr>
        <w:pStyle w:val="6"/>
        <w:keepNext w:val="0"/>
        <w:keepLines w:val="0"/>
        <w:adjustRightInd/>
        <w:snapToGrid/>
        <w:spacing w:before="0" w:after="0"/>
        <w:rPr>
          <w:rFonts w:ascii="黑体" w:hAnsi="黑体" w:eastAsia="黑体" w:cs="黑体"/>
          <w:sz w:val="30"/>
          <w:szCs w:val="30"/>
        </w:rPr>
      </w:pPr>
      <w:bookmarkStart w:id="36" w:name="_Toc17710"/>
      <w:bookmarkStart w:id="37" w:name="_Toc1233"/>
      <w:bookmarkStart w:id="38" w:name="_Toc23494"/>
      <w:bookmarkStart w:id="39" w:name="_Toc21596"/>
      <w:bookmarkStart w:id="40" w:name="_Toc31552"/>
      <w:r>
        <w:rPr>
          <w:rFonts w:hint="eastAsia" w:ascii="黑体" w:hAnsi="黑体" w:eastAsia="黑体" w:cs="黑体"/>
          <w:sz w:val="30"/>
          <w:szCs w:val="30"/>
        </w:rPr>
        <w:t>（三）绩效评价的依据</w:t>
      </w:r>
      <w:bookmarkEnd w:id="36"/>
      <w:bookmarkEnd w:id="37"/>
      <w:bookmarkEnd w:id="38"/>
      <w:bookmarkEnd w:id="39"/>
      <w:bookmarkEnd w:id="40"/>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1.中共中央、国务院《关于全面实施预算绩效管理的意见》（中发〔2018〕34号）；</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2.《项目支出绩效评价管理办法》（财预[2020]10号）；</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3.《中共河南省委 河南省人民政府关于全面实施预算绩效管理的实施意见》（豫发〔2019〕10号）；</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4.河南省财政厅关于印发《河南省省级预算项目支出绩效评价管理办法》的通知（豫财效〔2020〕10号）；</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ascii="仿宋_GB2312" w:hAnsi="仿宋_GB2312" w:eastAsia="仿宋_GB2312" w:cs="仿宋_GB2312"/>
          <w:sz w:val="32"/>
          <w:szCs w:val="32"/>
          <w:lang w:val="zh-CN"/>
        </w:rPr>
        <w:t>《中共</w:t>
      </w:r>
      <w:r>
        <w:rPr>
          <w:rFonts w:hint="eastAsia" w:ascii="仿宋_GB2312" w:hAnsi="仿宋_GB2312" w:eastAsia="仿宋_GB2312" w:cs="仿宋_GB2312"/>
          <w:sz w:val="32"/>
          <w:szCs w:val="32"/>
          <w:lang w:val="zh-CN"/>
        </w:rPr>
        <w:t>三门峡市</w:t>
      </w:r>
      <w:r>
        <w:rPr>
          <w:rFonts w:ascii="仿宋_GB2312" w:hAnsi="仿宋_GB2312" w:eastAsia="仿宋_GB2312" w:cs="仿宋_GB2312"/>
          <w:sz w:val="32"/>
          <w:szCs w:val="32"/>
          <w:lang w:val="zh-CN"/>
        </w:rPr>
        <w:t>委</w:t>
      </w:r>
      <w:r>
        <w:rPr>
          <w:rFonts w:hint="eastAsia" w:ascii="仿宋_GB2312" w:hAnsi="仿宋_GB2312" w:eastAsia="仿宋_GB2312" w:cs="仿宋_GB2312"/>
          <w:sz w:val="32"/>
          <w:szCs w:val="32"/>
          <w:lang w:val="zh-CN"/>
        </w:rPr>
        <w:t>三门峡市</w:t>
      </w:r>
      <w:r>
        <w:rPr>
          <w:rFonts w:ascii="仿宋_GB2312" w:hAnsi="仿宋_GB2312" w:eastAsia="仿宋_GB2312" w:cs="仿宋_GB2312"/>
          <w:sz w:val="32"/>
          <w:szCs w:val="32"/>
          <w:lang w:val="zh-CN"/>
        </w:rPr>
        <w:t>人民政府关于全面实施预算绩效管理的实施意见》（三发〔2020</w:t>
      </w:r>
      <w:r>
        <w:rPr>
          <w:rFonts w:hint="eastAsia" w:ascii="仿宋_GB2312" w:hAnsi="仿宋_GB2312" w:eastAsia="仿宋_GB2312" w:cs="仿宋_GB2312"/>
          <w:sz w:val="32"/>
          <w:szCs w:val="32"/>
        </w:rPr>
        <w:t>〕</w:t>
      </w:r>
      <w:r>
        <w:rPr>
          <w:rFonts w:ascii="仿宋_GB2312" w:hAnsi="仿宋_GB2312" w:eastAsia="仿宋_GB2312" w:cs="仿宋_GB2312"/>
          <w:sz w:val="32"/>
          <w:szCs w:val="32"/>
          <w:lang w:val="zh-CN"/>
        </w:rPr>
        <w:t>14号）</w:t>
      </w:r>
      <w:r>
        <w:rPr>
          <w:rFonts w:hint="eastAsia" w:ascii="仿宋_GB2312" w:hAnsi="仿宋_GB2312" w:eastAsia="仿宋_GB2312" w:cs="仿宋_GB2312"/>
          <w:sz w:val="32"/>
          <w:szCs w:val="32"/>
        </w:rPr>
        <w:t>；</w:t>
      </w:r>
    </w:p>
    <w:p>
      <w:pPr>
        <w:spacing w:line="360" w:lineRule="auto"/>
        <w:ind w:firstLine="640" w:firstLineChars="200"/>
        <w:rPr>
          <w:rFonts w:ascii="仿宋_GB2312" w:hAnsi="仿宋_GB2312" w:eastAsia="仿宋_GB2312" w:cs="仿宋_GB2312"/>
          <w:sz w:val="32"/>
          <w:szCs w:val="32"/>
        </w:rPr>
      </w:pPr>
      <w:bookmarkStart w:id="41" w:name="_Toc2346"/>
      <w:bookmarkStart w:id="42" w:name="_Toc15060"/>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lang w:val="zh-CN"/>
        </w:rPr>
        <w:t>三门峡市</w:t>
      </w:r>
      <w:r>
        <w:rPr>
          <w:rFonts w:ascii="仿宋_GB2312" w:hAnsi="仿宋_GB2312" w:eastAsia="仿宋_GB2312" w:cs="仿宋_GB2312"/>
          <w:sz w:val="32"/>
          <w:szCs w:val="32"/>
          <w:lang w:val="zh-CN"/>
        </w:rPr>
        <w:t>财政局关于开展202</w:t>
      </w:r>
      <w:r>
        <w:rPr>
          <w:rFonts w:hint="eastAsia" w:ascii="仿宋_GB2312" w:hAnsi="仿宋_GB2312" w:eastAsia="仿宋_GB2312" w:cs="仿宋_GB2312"/>
          <w:sz w:val="32"/>
          <w:szCs w:val="32"/>
          <w:lang w:val="en-US" w:eastAsia="zh-CN"/>
        </w:rPr>
        <w:t>1</w:t>
      </w:r>
      <w:r>
        <w:rPr>
          <w:rFonts w:ascii="仿宋_GB2312" w:hAnsi="仿宋_GB2312" w:eastAsia="仿宋_GB2312" w:cs="仿宋_GB2312"/>
          <w:sz w:val="32"/>
          <w:szCs w:val="32"/>
          <w:lang w:val="zh-CN"/>
        </w:rPr>
        <w:t>年度市级预算绩效自评工作的通知</w:t>
      </w:r>
      <w:r>
        <w:rPr>
          <w:rFonts w:hint="eastAsia" w:ascii="仿宋_GB2312" w:hAnsi="仿宋_GB2312" w:eastAsia="仿宋_GB2312" w:cs="仿宋_GB2312"/>
          <w:sz w:val="32"/>
          <w:szCs w:val="32"/>
        </w:rPr>
        <w:t>》（</w:t>
      </w:r>
      <w:r>
        <w:rPr>
          <w:rFonts w:ascii="仿宋_GB2312" w:hAnsi="仿宋_GB2312" w:eastAsia="仿宋_GB2312" w:cs="仿宋_GB2312"/>
          <w:sz w:val="32"/>
          <w:szCs w:val="32"/>
          <w:lang w:val="zh-CN"/>
        </w:rPr>
        <w:t>三财效〔202</w:t>
      </w:r>
      <w:r>
        <w:rPr>
          <w:rFonts w:hint="eastAsia" w:ascii="仿宋_GB2312" w:hAnsi="仿宋_GB2312" w:eastAsia="仿宋_GB2312" w:cs="仿宋_GB2312"/>
          <w:sz w:val="32"/>
          <w:szCs w:val="32"/>
          <w:lang w:val="en-US" w:eastAsia="zh-CN"/>
        </w:rPr>
        <w:t>2</w:t>
      </w:r>
      <w:r>
        <w:rPr>
          <w:rFonts w:ascii="仿宋_GB2312" w:hAnsi="仿宋_GB2312" w:eastAsia="仿宋_GB2312" w:cs="仿宋_GB2312"/>
          <w:sz w:val="32"/>
          <w:szCs w:val="32"/>
          <w:lang w:val="zh-CN"/>
        </w:rPr>
        <w:t>〕3号</w:t>
      </w:r>
      <w:r>
        <w:rPr>
          <w:rFonts w:hint="eastAsia" w:ascii="仿宋_GB2312" w:hAnsi="仿宋_GB2312" w:eastAsia="仿宋_GB2312" w:cs="仿宋_GB2312"/>
          <w:sz w:val="32"/>
          <w:szCs w:val="32"/>
        </w:rPr>
        <w:t>）；</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7.与本次自评相关的其他资料。</w:t>
      </w:r>
    </w:p>
    <w:p>
      <w:pPr>
        <w:pStyle w:val="6"/>
        <w:keepNext w:val="0"/>
        <w:keepLines w:val="0"/>
        <w:adjustRightInd/>
        <w:snapToGrid/>
        <w:spacing w:before="0" w:after="0"/>
        <w:rPr>
          <w:rFonts w:ascii="黑体" w:hAnsi="黑体" w:eastAsia="黑体" w:cs="黑体"/>
          <w:sz w:val="30"/>
          <w:szCs w:val="30"/>
        </w:rPr>
      </w:pPr>
      <w:bookmarkStart w:id="43" w:name="_Toc18992"/>
      <w:bookmarkStart w:id="44" w:name="_Toc10608"/>
      <w:bookmarkStart w:id="45" w:name="_Toc1796"/>
      <w:r>
        <w:rPr>
          <w:rFonts w:hint="eastAsia" w:ascii="黑体" w:hAnsi="黑体" w:eastAsia="黑体" w:cs="黑体"/>
          <w:sz w:val="30"/>
          <w:szCs w:val="30"/>
        </w:rPr>
        <w:t>（四）评分方法</w:t>
      </w:r>
      <w:bookmarkEnd w:id="41"/>
      <w:bookmarkEnd w:id="42"/>
      <w:bookmarkEnd w:id="43"/>
      <w:bookmarkEnd w:id="44"/>
      <w:bookmarkEnd w:id="45"/>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根据财政部《项目支出绩效评价管理办法》（财预〔2020〕10 号）第十六条的相关要求：</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“单位自评采用定量与定性评价相结合的比较法，总分由各项指标得分汇总形成。</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定量指标得分按照以下方法评定：与年初指标值相比，完成指标值的，计该指标所赋全部分值；对完成值高于指标值较多的，要分析原因，如果是由于年初指标值设定明显偏低造成的，要按照偏离度适度调减分值；未完成指标值的，按照完成值与指标值的比例计分。</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定性指标得分按照以下方法评定：根据指标完成情况分为达成年度指标、部分达成年度指标并具有一定效果、未达成年度指标且效果较差三档，分别按照该指标对应分值区间100%—80%（含）、80%—60%（含）、60%—0%合理确定分值。”</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w:t>
      </w:r>
      <w:r>
        <w:rPr>
          <w:rFonts w:hint="eastAsia" w:ascii="仿宋_GB2312" w:hAnsi="仿宋_GB2312" w:eastAsia="仿宋_GB2312" w:cs="仿宋_GB2312"/>
          <w:sz w:val="32"/>
          <w:szCs w:val="32"/>
          <w:lang w:val="zh-CN"/>
        </w:rPr>
        <w:t>三门峡市</w:t>
      </w:r>
      <w:r>
        <w:rPr>
          <w:rFonts w:ascii="仿宋_GB2312" w:hAnsi="仿宋_GB2312" w:eastAsia="仿宋_GB2312" w:cs="仿宋_GB2312"/>
          <w:sz w:val="32"/>
          <w:szCs w:val="32"/>
          <w:lang w:val="zh-CN"/>
        </w:rPr>
        <w:t>财政局关于开展202</w:t>
      </w:r>
      <w:r>
        <w:rPr>
          <w:rFonts w:hint="eastAsia" w:ascii="仿宋_GB2312" w:hAnsi="仿宋_GB2312" w:eastAsia="仿宋_GB2312" w:cs="仿宋_GB2312"/>
          <w:sz w:val="32"/>
          <w:szCs w:val="32"/>
          <w:lang w:val="en-US" w:eastAsia="zh-CN"/>
        </w:rPr>
        <w:t>1</w:t>
      </w:r>
      <w:r>
        <w:rPr>
          <w:rFonts w:ascii="仿宋_GB2312" w:hAnsi="仿宋_GB2312" w:eastAsia="仿宋_GB2312" w:cs="仿宋_GB2312"/>
          <w:sz w:val="32"/>
          <w:szCs w:val="32"/>
          <w:lang w:val="zh-CN"/>
        </w:rPr>
        <w:t>年度市级预算绩效自评工作的通知</w:t>
      </w:r>
      <w:r>
        <w:rPr>
          <w:rFonts w:hint="eastAsia" w:ascii="仿宋_GB2312" w:hAnsi="仿宋_GB2312" w:eastAsia="仿宋_GB2312" w:cs="仿宋_GB2312"/>
          <w:sz w:val="32"/>
          <w:szCs w:val="32"/>
        </w:rPr>
        <w:t>》（</w:t>
      </w:r>
      <w:r>
        <w:rPr>
          <w:rFonts w:ascii="仿宋_GB2312" w:hAnsi="仿宋_GB2312" w:eastAsia="仿宋_GB2312" w:cs="仿宋_GB2312"/>
          <w:sz w:val="32"/>
          <w:szCs w:val="32"/>
          <w:lang w:val="zh-CN"/>
        </w:rPr>
        <w:t>三财效〔202</w:t>
      </w:r>
      <w:r>
        <w:rPr>
          <w:rFonts w:hint="eastAsia" w:ascii="仿宋_GB2312" w:hAnsi="仿宋_GB2312" w:eastAsia="仿宋_GB2312" w:cs="仿宋_GB2312"/>
          <w:sz w:val="32"/>
          <w:szCs w:val="32"/>
          <w:lang w:val="en-US" w:eastAsia="zh-CN"/>
        </w:rPr>
        <w:t>2</w:t>
      </w:r>
      <w:r>
        <w:rPr>
          <w:rFonts w:ascii="仿宋_GB2312" w:hAnsi="仿宋_GB2312" w:eastAsia="仿宋_GB2312" w:cs="仿宋_GB2312"/>
          <w:sz w:val="32"/>
          <w:szCs w:val="32"/>
          <w:lang w:val="zh-CN"/>
        </w:rPr>
        <w:t>〕3号</w:t>
      </w:r>
      <w:r>
        <w:rPr>
          <w:rFonts w:hint="eastAsia" w:ascii="仿宋_GB2312" w:hAnsi="仿宋_GB2312" w:eastAsia="仿宋_GB2312" w:cs="仿宋_GB2312"/>
          <w:sz w:val="32"/>
          <w:szCs w:val="32"/>
        </w:rPr>
        <w:t>）相关要求：“</w:t>
      </w:r>
      <w:r>
        <w:rPr>
          <w:rFonts w:ascii="仿宋_GB2312" w:hAnsi="仿宋_GB2312" w:eastAsia="仿宋_GB2312" w:cs="仿宋_GB2312"/>
          <w:sz w:val="32"/>
          <w:szCs w:val="32"/>
          <w:lang w:val="zh-CN"/>
        </w:rPr>
        <w:t>绩效自评采取打分评价的形式，满分为100分，项目单位自评原则上一级指标分值统一设置为：产出指标50分、效益指标30分、服务对象满意度10分、预算资金执行率10分。</w:t>
      </w:r>
      <w:r>
        <w:rPr>
          <w:rFonts w:hint="eastAsia" w:ascii="仿宋_GB2312" w:hAnsi="仿宋_GB2312" w:eastAsia="仿宋_GB2312" w:cs="仿宋_GB2312"/>
          <w:sz w:val="32"/>
          <w:szCs w:val="32"/>
        </w:rPr>
        <w:t>”指标权重可根据指标的重要程度自主确定各项三级指标的权重分值，各项指标得分加总得出自评的总分。</w:t>
      </w:r>
    </w:p>
    <w:p>
      <w:pPr>
        <w:pStyle w:val="6"/>
        <w:keepNext w:val="0"/>
        <w:keepLines w:val="0"/>
        <w:adjustRightInd/>
        <w:snapToGrid/>
        <w:spacing w:before="0" w:after="0"/>
        <w:rPr>
          <w:rFonts w:ascii="黑体" w:hAnsi="黑体" w:eastAsia="黑体" w:cs="黑体"/>
          <w:sz w:val="30"/>
          <w:szCs w:val="30"/>
        </w:rPr>
      </w:pPr>
      <w:bookmarkStart w:id="46" w:name="_Toc10949"/>
      <w:bookmarkStart w:id="47" w:name="_Toc7828"/>
      <w:bookmarkStart w:id="48" w:name="_Toc15508"/>
      <w:bookmarkStart w:id="49" w:name="_Toc2046"/>
      <w:bookmarkStart w:id="50" w:name="_Toc18185"/>
      <w:r>
        <w:rPr>
          <w:rFonts w:hint="eastAsia" w:ascii="黑体" w:hAnsi="黑体" w:eastAsia="黑体" w:cs="黑体"/>
          <w:sz w:val="30"/>
          <w:szCs w:val="30"/>
        </w:rPr>
        <w:t>（五）绩效自评工作组织</w:t>
      </w:r>
      <w:bookmarkEnd w:id="46"/>
      <w:bookmarkEnd w:id="47"/>
      <w:bookmarkEnd w:id="48"/>
      <w:bookmarkEnd w:id="49"/>
      <w:bookmarkEnd w:id="50"/>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我单位依据《三门峡市财政局关于开展202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年度市级预算绩效自评工作的通知》（三财效〔202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〕3号）相关要求，由</w:t>
      </w:r>
      <w:r>
        <w:rPr>
          <w:rFonts w:hint="eastAsia" w:ascii="仿宋_GB2312" w:hAnsi="仿宋_GB2312" w:eastAsia="仿宋_GB2312" w:cs="仿宋_GB2312"/>
          <w:sz w:val="32"/>
          <w:szCs w:val="32"/>
          <w:lang w:eastAsia="zh-CN"/>
        </w:rPr>
        <w:t>相关业务科室</w:t>
      </w:r>
      <w:r>
        <w:rPr>
          <w:rFonts w:hint="eastAsia" w:ascii="仿宋_GB2312" w:hAnsi="仿宋_GB2312" w:eastAsia="仿宋_GB2312" w:cs="仿宋_GB2312"/>
          <w:sz w:val="32"/>
          <w:szCs w:val="32"/>
        </w:rPr>
        <w:t>根据具体项目指定专人配合进行自评。</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主要工作内容有：</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1.召开自评会议，进行自评工作的统一部署并组织项目相关成员进行必要的政策法规学习；</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.组织有效的调查研究、查阅相关资料；</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.根据获取的资料，依照《项目支出绩效自评表》进行合理打分；</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.综合上述工作成果，撰写项目自评报告；</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.完成项目绩效评价相关政策所要求的其他事项；</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.发现问题，并落实整改。</w:t>
      </w:r>
    </w:p>
    <w:p>
      <w:pPr>
        <w:pStyle w:val="5"/>
        <w:keepNext w:val="0"/>
        <w:keepLines w:val="0"/>
        <w:spacing w:before="0" w:after="0" w:line="360" w:lineRule="auto"/>
        <w:rPr>
          <w:rFonts w:ascii="黑体" w:hAnsi="黑体" w:eastAsia="黑体" w:cs="黑体"/>
          <w:sz w:val="32"/>
          <w:szCs w:val="32"/>
          <w:lang w:val="zh-CN"/>
        </w:rPr>
      </w:pPr>
      <w:bookmarkStart w:id="51" w:name="_Toc32132"/>
      <w:bookmarkStart w:id="52" w:name="_Toc17646"/>
      <w:bookmarkStart w:id="53" w:name="_Toc16"/>
      <w:bookmarkStart w:id="54" w:name="_Toc5171"/>
      <w:bookmarkStart w:id="55" w:name="_Toc12278"/>
      <w:r>
        <w:rPr>
          <w:rFonts w:hint="eastAsia" w:ascii="黑体" w:hAnsi="黑体" w:eastAsia="黑体" w:cs="黑体"/>
          <w:sz w:val="32"/>
          <w:szCs w:val="32"/>
        </w:rPr>
        <w:t>三、</w:t>
      </w:r>
      <w:r>
        <w:rPr>
          <w:rFonts w:hint="eastAsia" w:ascii="黑体" w:hAnsi="黑体" w:eastAsia="黑体" w:cs="黑体"/>
          <w:sz w:val="32"/>
          <w:szCs w:val="32"/>
          <w:lang w:val="zh-CN"/>
        </w:rPr>
        <w:t>科室</w:t>
      </w:r>
      <w:r>
        <w:rPr>
          <w:rFonts w:ascii="黑体" w:hAnsi="黑体" w:eastAsia="黑体" w:cs="黑体"/>
          <w:sz w:val="32"/>
          <w:szCs w:val="32"/>
          <w:lang w:val="zh-CN"/>
        </w:rPr>
        <w:t>自评结果及分析</w:t>
      </w:r>
      <w:bookmarkEnd w:id="51"/>
      <w:bookmarkEnd w:id="52"/>
      <w:bookmarkEnd w:id="53"/>
      <w:bookmarkEnd w:id="54"/>
      <w:bookmarkEnd w:id="55"/>
    </w:p>
    <w:p>
      <w:pPr>
        <w:pStyle w:val="6"/>
        <w:keepNext w:val="0"/>
        <w:keepLines w:val="0"/>
        <w:adjustRightInd/>
        <w:snapToGrid/>
        <w:spacing w:before="0" w:after="0"/>
        <w:rPr>
          <w:rFonts w:ascii="黑体" w:hAnsi="黑体" w:eastAsia="黑体" w:cs="黑体"/>
          <w:sz w:val="30"/>
          <w:szCs w:val="30"/>
          <w:lang w:val="zh-CN"/>
        </w:rPr>
      </w:pPr>
      <w:bookmarkStart w:id="56" w:name="_Toc32649"/>
      <w:bookmarkStart w:id="57" w:name="_Toc17940"/>
      <w:bookmarkStart w:id="58" w:name="_Toc8066"/>
      <w:r>
        <w:rPr>
          <w:rFonts w:ascii="黑体" w:hAnsi="黑体" w:eastAsia="黑体" w:cs="黑体"/>
          <w:sz w:val="30"/>
          <w:szCs w:val="30"/>
          <w:lang w:val="zh-CN"/>
        </w:rPr>
        <w:t>（一）自评结果</w:t>
      </w:r>
      <w:bookmarkEnd w:id="56"/>
      <w:bookmarkEnd w:id="57"/>
      <w:bookmarkEnd w:id="58"/>
    </w:p>
    <w:p>
      <w:pPr>
        <w:spacing w:line="360" w:lineRule="auto"/>
        <w:ind w:firstLine="640" w:firstLineChars="200"/>
        <w:rPr>
          <w:rFonts w:ascii="仿宋_GB2312" w:hAnsi="仿宋_GB2312" w:eastAsia="仿宋_GB2312" w:cs="仿宋_GB2312"/>
          <w:sz w:val="32"/>
          <w:szCs w:val="32"/>
          <w:lang w:val="zh-CN"/>
        </w:rPr>
      </w:pPr>
      <w:r>
        <w:rPr>
          <w:rFonts w:ascii="仿宋_GB2312" w:hAnsi="仿宋_GB2312" w:eastAsia="仿宋_GB2312" w:cs="仿宋_GB2312"/>
          <w:sz w:val="32"/>
          <w:szCs w:val="32"/>
          <w:lang w:val="zh-CN"/>
        </w:rPr>
        <w:t>根据</w:t>
      </w:r>
      <w:r>
        <w:rPr>
          <w:rFonts w:hint="eastAsia" w:ascii="仿宋_GB2312" w:hAnsi="仿宋_GB2312" w:eastAsia="仿宋_GB2312" w:cs="仿宋_GB2312"/>
          <w:sz w:val="32"/>
          <w:szCs w:val="32"/>
        </w:rPr>
        <w:t>《三门峡市财政局关于开展202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年度市级预算绩效自评工作的通知》（三财效〔202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〕3号）</w:t>
      </w:r>
      <w:r>
        <w:rPr>
          <w:rFonts w:ascii="仿宋_GB2312" w:hAnsi="仿宋_GB2312" w:eastAsia="仿宋_GB2312" w:cs="仿宋_GB2312"/>
          <w:sz w:val="32"/>
          <w:szCs w:val="32"/>
          <w:lang w:val="zh-CN"/>
        </w:rPr>
        <w:t>相关规定，绩效评价结果实行百分制和四级分类，分别是：90</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含</w:t>
      </w: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-100分为优、80</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含</w:t>
      </w: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rPr>
        <w:t>90</w:t>
      </w:r>
      <w:r>
        <w:rPr>
          <w:rFonts w:ascii="仿宋_GB2312" w:hAnsi="仿宋_GB2312" w:eastAsia="仿宋_GB2312" w:cs="仿宋_GB2312"/>
          <w:sz w:val="32"/>
          <w:szCs w:val="32"/>
          <w:lang w:val="zh-CN"/>
        </w:rPr>
        <w:t>分为良、60</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含</w:t>
      </w: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rPr>
        <w:t>80</w:t>
      </w:r>
      <w:r>
        <w:rPr>
          <w:rFonts w:ascii="仿宋_GB2312" w:hAnsi="仿宋_GB2312" w:eastAsia="仿宋_GB2312" w:cs="仿宋_GB2312"/>
          <w:sz w:val="32"/>
          <w:szCs w:val="32"/>
          <w:lang w:val="zh-CN"/>
        </w:rPr>
        <w:t>分为中、</w:t>
      </w:r>
      <w:r>
        <w:rPr>
          <w:rFonts w:hint="eastAsia" w:ascii="仿宋_GB2312" w:hAnsi="仿宋_GB2312" w:eastAsia="仿宋_GB2312" w:cs="仿宋_GB2312"/>
          <w:sz w:val="32"/>
          <w:szCs w:val="32"/>
        </w:rPr>
        <w:t>60</w:t>
      </w:r>
      <w:r>
        <w:rPr>
          <w:rFonts w:ascii="仿宋_GB2312" w:hAnsi="仿宋_GB2312" w:eastAsia="仿宋_GB2312" w:cs="仿宋_GB2312"/>
          <w:sz w:val="32"/>
          <w:szCs w:val="32"/>
          <w:lang w:val="zh-CN"/>
        </w:rPr>
        <w:t>分</w:t>
      </w:r>
      <w:r>
        <w:rPr>
          <w:rFonts w:hint="eastAsia" w:ascii="仿宋_GB2312" w:hAnsi="仿宋_GB2312" w:eastAsia="仿宋_GB2312" w:cs="仿宋_GB2312"/>
          <w:sz w:val="32"/>
          <w:szCs w:val="32"/>
        </w:rPr>
        <w:t>以下</w:t>
      </w:r>
      <w:r>
        <w:rPr>
          <w:rFonts w:ascii="仿宋_GB2312" w:hAnsi="仿宋_GB2312" w:eastAsia="仿宋_GB2312" w:cs="仿宋_GB2312"/>
          <w:sz w:val="32"/>
          <w:szCs w:val="32"/>
          <w:lang w:val="zh-CN"/>
        </w:rPr>
        <w:t>为差。</w:t>
      </w:r>
    </w:p>
    <w:p>
      <w:pPr>
        <w:spacing w:line="360" w:lineRule="auto"/>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我科室通过对本项目调查研究、座谈、查阅相关资料，根据相关政策要求进行打分，最终项目自评价得分为</w:t>
      </w:r>
      <w:r>
        <w:rPr>
          <w:rFonts w:hint="eastAsia" w:ascii="仿宋_GB2312" w:eastAsia="仿宋_GB2312" w:cs="仿宋_GB2312"/>
          <w:sz w:val="32"/>
          <w:szCs w:val="32"/>
          <w:lang w:val="en-US" w:eastAsia="zh-CN"/>
        </w:rPr>
        <w:t>96</w:t>
      </w:r>
      <w:r>
        <w:rPr>
          <w:rFonts w:hint="eastAsia" w:ascii="仿宋_GB2312" w:hAnsi="仿宋_GB2312" w:eastAsia="仿宋_GB2312" w:cs="仿宋_GB2312"/>
          <w:sz w:val="32"/>
          <w:szCs w:val="32"/>
          <w:lang w:val="zh-CN"/>
        </w:rPr>
        <w:t>分，评价结果为优。</w:t>
      </w:r>
    </w:p>
    <w:p>
      <w:pPr>
        <w:pStyle w:val="5"/>
        <w:keepNext w:val="0"/>
        <w:keepLines w:val="0"/>
        <w:numPr>
          <w:ilvl w:val="0"/>
          <w:numId w:val="1"/>
        </w:numPr>
        <w:spacing w:before="0" w:after="0" w:line="360" w:lineRule="auto"/>
        <w:rPr>
          <w:rFonts w:ascii="黑体" w:hAnsi="黑体" w:eastAsia="黑体" w:cs="黑体"/>
          <w:sz w:val="32"/>
          <w:szCs w:val="32"/>
          <w:lang w:val="zh-CN"/>
        </w:rPr>
      </w:pPr>
      <w:bookmarkStart w:id="59" w:name="_Toc21228"/>
      <w:bookmarkStart w:id="60" w:name="_Toc29526"/>
      <w:bookmarkStart w:id="61" w:name="_Toc11209"/>
      <w:r>
        <w:rPr>
          <w:rFonts w:ascii="黑体" w:hAnsi="黑体" w:eastAsia="黑体" w:cs="黑体"/>
          <w:sz w:val="32"/>
          <w:szCs w:val="32"/>
          <w:lang w:val="zh-CN"/>
        </w:rPr>
        <w:t>自评发现的问题及整改措施</w:t>
      </w:r>
      <w:bookmarkEnd w:id="59"/>
      <w:bookmarkEnd w:id="60"/>
      <w:bookmarkEnd w:id="61"/>
      <w:bookmarkStart w:id="62" w:name="_Toc17190"/>
      <w:bookmarkStart w:id="63" w:name="_Toc9511"/>
    </w:p>
    <w:bookmarkEnd w:id="62"/>
    <w:bookmarkEnd w:id="63"/>
    <w:p>
      <w:pPr>
        <w:spacing w:line="360" w:lineRule="auto"/>
        <w:ind w:firstLine="640" w:firstLineChars="200"/>
        <w:rPr>
          <w:rFonts w:ascii="仿宋_GB2312" w:hAnsi="仿宋_GB2312" w:eastAsia="仿宋_GB2312" w:cs="仿宋_GB2312"/>
          <w:sz w:val="32"/>
          <w:szCs w:val="32"/>
          <w:lang w:val="zh-CN"/>
        </w:rPr>
      </w:pPr>
      <w:bookmarkStart w:id="64" w:name="_Toc30248"/>
      <w:bookmarkStart w:id="65" w:name="_Toc23893"/>
      <w:bookmarkStart w:id="66" w:name="_Toc20854"/>
      <w:bookmarkStart w:id="67" w:name="_Toc184"/>
      <w:bookmarkStart w:id="68" w:name="_Toc21336"/>
      <w:r>
        <w:rPr>
          <w:rFonts w:hint="eastAsia" w:ascii="仿宋_GB2312" w:hAnsi="仿宋_GB2312" w:eastAsia="仿宋_GB2312" w:cs="仿宋_GB2312"/>
          <w:sz w:val="32"/>
          <w:szCs w:val="32"/>
          <w:lang w:val="zh-CN"/>
        </w:rPr>
        <w:t>发现由于前期对绩效评价认识不足，单位满意度指标值设置有限偏高，不够科学合理。</w:t>
      </w:r>
      <w:bookmarkEnd w:id="64"/>
      <w:bookmarkEnd w:id="65"/>
      <w:bookmarkEnd w:id="66"/>
      <w:bookmarkEnd w:id="67"/>
      <w:bookmarkEnd w:id="68"/>
    </w:p>
    <w:p>
      <w:pPr>
        <w:spacing w:line="360" w:lineRule="auto"/>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整改措施：</w:t>
      </w:r>
      <w:r>
        <w:rPr>
          <w:rFonts w:ascii="仿宋_GB2312" w:hAnsi="仿宋_GB2312" w:eastAsia="仿宋_GB2312" w:cs="仿宋_GB2312"/>
          <w:sz w:val="32"/>
          <w:szCs w:val="32"/>
          <w:lang w:val="zh-CN"/>
        </w:rPr>
        <w:t>科学制定绩效目标，参照历史数据、行业标准、计划标准等数据资料，设置指向明确、细化量化、合理可行、相应匹配的绩效目标，为后期开展绩效监控和评价提供基础支撑</w:t>
      </w:r>
      <w:r>
        <w:rPr>
          <w:rFonts w:hint="eastAsia" w:ascii="仿宋_GB2312" w:hAnsi="仿宋_GB2312" w:eastAsia="仿宋_GB2312" w:cs="仿宋_GB2312"/>
          <w:sz w:val="32"/>
          <w:szCs w:val="32"/>
          <w:lang w:val="zh-CN"/>
        </w:rPr>
        <w:t>。</w:t>
      </w:r>
    </w:p>
    <w:p>
      <w:pPr>
        <w:pStyle w:val="5"/>
        <w:keepNext w:val="0"/>
        <w:keepLines w:val="0"/>
        <w:numPr>
          <w:ilvl w:val="0"/>
          <w:numId w:val="1"/>
        </w:numPr>
        <w:spacing w:before="0" w:after="0" w:line="360" w:lineRule="auto"/>
        <w:rPr>
          <w:rFonts w:ascii="黑体" w:hAnsi="黑体" w:eastAsia="黑体" w:cs="黑体"/>
          <w:sz w:val="32"/>
          <w:szCs w:val="32"/>
          <w:lang w:val="zh-CN"/>
        </w:rPr>
      </w:pPr>
      <w:bookmarkStart w:id="69" w:name="_Toc18879"/>
      <w:bookmarkStart w:id="70" w:name="_Toc31923"/>
      <w:bookmarkStart w:id="71" w:name="_Toc19784"/>
      <w:r>
        <w:rPr>
          <w:rFonts w:ascii="黑体" w:hAnsi="黑体" w:eastAsia="黑体" w:cs="黑体"/>
          <w:sz w:val="32"/>
          <w:szCs w:val="32"/>
          <w:lang w:val="zh-CN"/>
        </w:rPr>
        <w:t>绩效自评工作建议及预算安排建议</w:t>
      </w:r>
      <w:bookmarkEnd w:id="69"/>
      <w:bookmarkEnd w:id="70"/>
      <w:bookmarkEnd w:id="71"/>
    </w:p>
    <w:p>
      <w:pPr>
        <w:pStyle w:val="3"/>
        <w:ind w:firstLine="640" w:firstLineChars="200"/>
        <w:jc w:val="left"/>
        <w:rPr>
          <w:lang w:val="zh-CN"/>
        </w:rPr>
      </w:pPr>
      <w:bookmarkStart w:id="72" w:name="_Toc4014"/>
      <w:bookmarkStart w:id="73" w:name="_Toc6756"/>
      <w:r>
        <w:rPr>
          <w:rFonts w:hint="eastAsia" w:ascii="仿宋_GB2312" w:hAnsi="仿宋_GB2312" w:eastAsia="仿宋_GB2312" w:cs="仿宋_GB2312"/>
          <w:sz w:val="32"/>
          <w:szCs w:val="32"/>
        </w:rPr>
        <w:t>希望财政部门能组织开展预算绩效管理讲解，深入了解绩效上报工作的意义以及方式方法，更合理的安排资金用途。要采取召开会议、专题培训、分类指导等多种形式，让预算单位领导和工作人员了解政策、开展工作。另一方面，“做什么的工作，就应该且只能拿什么钱，必须交出什么的成果”，这样的理念应贯穿机构运转的始终。</w:t>
      </w:r>
    </w:p>
    <w:p>
      <w:pPr>
        <w:pStyle w:val="5"/>
        <w:keepNext w:val="0"/>
        <w:keepLines w:val="0"/>
        <w:numPr>
          <w:ilvl w:val="0"/>
          <w:numId w:val="2"/>
        </w:numPr>
        <w:spacing w:before="0" w:after="0" w:line="360" w:lineRule="auto"/>
        <w:rPr>
          <w:rFonts w:ascii="黑体" w:hAnsi="黑体" w:eastAsia="黑体" w:cs="黑体"/>
          <w:sz w:val="32"/>
          <w:szCs w:val="32"/>
          <w:lang w:val="zh-CN"/>
        </w:rPr>
      </w:pPr>
      <w:bookmarkStart w:id="74" w:name="_Toc15444"/>
      <w:r>
        <w:rPr>
          <w:rFonts w:ascii="黑体" w:hAnsi="黑体" w:eastAsia="黑体" w:cs="黑体"/>
          <w:sz w:val="32"/>
          <w:szCs w:val="32"/>
          <w:lang w:val="zh-CN"/>
        </w:rPr>
        <w:t>其他需要说明的问题</w:t>
      </w:r>
      <w:bookmarkEnd w:id="72"/>
      <w:bookmarkEnd w:id="73"/>
      <w:bookmarkEnd w:id="74"/>
    </w:p>
    <w:p>
      <w:pPr>
        <w:spacing w:line="360" w:lineRule="auto"/>
        <w:ind w:firstLine="640" w:firstLineChars="200"/>
        <w:rPr>
          <w:rFonts w:ascii="仿宋_GB2312" w:hAnsi="仿宋_GB2312" w:eastAsia="仿宋_GB2312" w:cs="仿宋_GB2312"/>
          <w:sz w:val="32"/>
          <w:szCs w:val="32"/>
          <w:lang w:val="zh-CN"/>
        </w:rPr>
      </w:pPr>
      <w:bookmarkStart w:id="75" w:name="_Toc10246"/>
      <w:bookmarkStart w:id="76" w:name="_Toc32568"/>
      <w:bookmarkStart w:id="77" w:name="_Toc27847"/>
      <w:r>
        <w:rPr>
          <w:rFonts w:hint="eastAsia" w:ascii="仿宋_GB2312" w:hAnsi="仿宋_GB2312" w:eastAsia="仿宋_GB2312" w:cs="仿宋_GB2312"/>
          <w:sz w:val="32"/>
          <w:szCs w:val="32"/>
          <w:lang w:val="zh-CN"/>
        </w:rPr>
        <w:t>需要说明的是：受多种因素影响，部分指标值难以考察取证</w:t>
      </w:r>
      <w:bookmarkEnd w:id="75"/>
      <w:bookmarkStart w:id="78" w:name="_Toc7176"/>
      <w:bookmarkStart w:id="79" w:name="_Toc12241"/>
      <w:r>
        <w:rPr>
          <w:rFonts w:hint="eastAsia" w:ascii="仿宋_GB2312" w:hAnsi="仿宋_GB2312" w:eastAsia="仿宋_GB2312" w:cs="仿宋_GB2312"/>
          <w:sz w:val="32"/>
          <w:szCs w:val="32"/>
          <w:lang w:val="zh-CN"/>
        </w:rPr>
        <w:t>。</w:t>
      </w:r>
      <w:bookmarkEnd w:id="76"/>
      <w:bookmarkEnd w:id="77"/>
    </w:p>
    <w:bookmarkEnd w:id="78"/>
    <w:bookmarkEnd w:id="79"/>
    <w:p/>
    <w:sectPr>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altName w:val="微软雅黑"/>
    <w:panose1 w:val="02010609060101010101"/>
    <w:charset w:val="86"/>
    <w:family w:val="modern"/>
    <w:pitch w:val="default"/>
    <w:sig w:usb0="00000000" w:usb1="00000000"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0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3</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784B2E0"/>
    <w:multiLevelType w:val="singleLevel"/>
    <w:tmpl w:val="C784B2E0"/>
    <w:lvl w:ilvl="0" w:tentative="0">
      <w:start w:val="4"/>
      <w:numFmt w:val="chineseCounting"/>
      <w:suff w:val="nothing"/>
      <w:lvlText w:val="%1、"/>
      <w:lvlJc w:val="left"/>
      <w:rPr>
        <w:rFonts w:hint="eastAsia"/>
      </w:rPr>
    </w:lvl>
  </w:abstractNum>
  <w:abstractNum w:abstractNumId="1">
    <w:nsid w:val="7B5CFF8A"/>
    <w:multiLevelType w:val="singleLevel"/>
    <w:tmpl w:val="7B5CFF8A"/>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RmYTUyY2Y1MDJiZjIyYjdiMjQzMDFmYzRiYmU4MWIifQ=="/>
  </w:docVars>
  <w:rsids>
    <w:rsidRoot w:val="00172A27"/>
    <w:rsid w:val="00172A27"/>
    <w:rsid w:val="0055721E"/>
    <w:rsid w:val="006225BA"/>
    <w:rsid w:val="007724D3"/>
    <w:rsid w:val="007E71D6"/>
    <w:rsid w:val="00CE22C2"/>
    <w:rsid w:val="00D403CC"/>
    <w:rsid w:val="01206038"/>
    <w:rsid w:val="01CD24AB"/>
    <w:rsid w:val="01D11DD0"/>
    <w:rsid w:val="03687896"/>
    <w:rsid w:val="03A74472"/>
    <w:rsid w:val="03CF39B3"/>
    <w:rsid w:val="03E3527A"/>
    <w:rsid w:val="03FB180A"/>
    <w:rsid w:val="0475434D"/>
    <w:rsid w:val="04E85A96"/>
    <w:rsid w:val="05310285"/>
    <w:rsid w:val="0545083A"/>
    <w:rsid w:val="05E94B02"/>
    <w:rsid w:val="06022C39"/>
    <w:rsid w:val="06241739"/>
    <w:rsid w:val="06267EB9"/>
    <w:rsid w:val="06403200"/>
    <w:rsid w:val="067D4911"/>
    <w:rsid w:val="06CD2CAD"/>
    <w:rsid w:val="06D44DB6"/>
    <w:rsid w:val="073C001E"/>
    <w:rsid w:val="076D7ABD"/>
    <w:rsid w:val="07EC720E"/>
    <w:rsid w:val="09517008"/>
    <w:rsid w:val="09520821"/>
    <w:rsid w:val="0AC506C6"/>
    <w:rsid w:val="0B0A783A"/>
    <w:rsid w:val="0B714783"/>
    <w:rsid w:val="0BA212E3"/>
    <w:rsid w:val="0BDB688F"/>
    <w:rsid w:val="0C1D2D9B"/>
    <w:rsid w:val="0C2B3B54"/>
    <w:rsid w:val="0D5B101A"/>
    <w:rsid w:val="0DAC117D"/>
    <w:rsid w:val="0DC63D28"/>
    <w:rsid w:val="0E00771B"/>
    <w:rsid w:val="0E243570"/>
    <w:rsid w:val="0E9C42BC"/>
    <w:rsid w:val="0EDC6DE7"/>
    <w:rsid w:val="0EF760A8"/>
    <w:rsid w:val="0F0A5349"/>
    <w:rsid w:val="0F386323"/>
    <w:rsid w:val="100C1C87"/>
    <w:rsid w:val="102A6D5E"/>
    <w:rsid w:val="10403E70"/>
    <w:rsid w:val="11181DA8"/>
    <w:rsid w:val="114558BD"/>
    <w:rsid w:val="11BE372B"/>
    <w:rsid w:val="11D94FBF"/>
    <w:rsid w:val="11DF7AA5"/>
    <w:rsid w:val="11EC2F93"/>
    <w:rsid w:val="121E4775"/>
    <w:rsid w:val="13326DFA"/>
    <w:rsid w:val="13663A30"/>
    <w:rsid w:val="13A84A9A"/>
    <w:rsid w:val="13C60661"/>
    <w:rsid w:val="14135BEE"/>
    <w:rsid w:val="142A71C6"/>
    <w:rsid w:val="143049A4"/>
    <w:rsid w:val="14AC70A9"/>
    <w:rsid w:val="14BD44C7"/>
    <w:rsid w:val="14DE3D76"/>
    <w:rsid w:val="1512287B"/>
    <w:rsid w:val="155B3210"/>
    <w:rsid w:val="15C00483"/>
    <w:rsid w:val="15C71E5A"/>
    <w:rsid w:val="15EB0E81"/>
    <w:rsid w:val="15F135FB"/>
    <w:rsid w:val="16A86570"/>
    <w:rsid w:val="16AE72D0"/>
    <w:rsid w:val="178B4BED"/>
    <w:rsid w:val="17A009E3"/>
    <w:rsid w:val="18074165"/>
    <w:rsid w:val="18180FA8"/>
    <w:rsid w:val="18570359"/>
    <w:rsid w:val="186944EF"/>
    <w:rsid w:val="19357C12"/>
    <w:rsid w:val="196138D2"/>
    <w:rsid w:val="19953697"/>
    <w:rsid w:val="19BA43E3"/>
    <w:rsid w:val="1A4450BF"/>
    <w:rsid w:val="1AC12C79"/>
    <w:rsid w:val="1AF11A8C"/>
    <w:rsid w:val="1B7911A5"/>
    <w:rsid w:val="1B8B0E1E"/>
    <w:rsid w:val="1BFD0F60"/>
    <w:rsid w:val="1BFE6092"/>
    <w:rsid w:val="1C29383C"/>
    <w:rsid w:val="1C3F1DC0"/>
    <w:rsid w:val="1C48271E"/>
    <w:rsid w:val="1D47313A"/>
    <w:rsid w:val="1D676463"/>
    <w:rsid w:val="1DC41A36"/>
    <w:rsid w:val="1DFC4D2D"/>
    <w:rsid w:val="1E0D0C38"/>
    <w:rsid w:val="1E216956"/>
    <w:rsid w:val="1E7C7AF5"/>
    <w:rsid w:val="1EA51E7C"/>
    <w:rsid w:val="1EC01BD4"/>
    <w:rsid w:val="1EEE3414"/>
    <w:rsid w:val="1F3A1FDC"/>
    <w:rsid w:val="1F6E60BF"/>
    <w:rsid w:val="1FA65F70"/>
    <w:rsid w:val="1FFB2D1C"/>
    <w:rsid w:val="20E32BEF"/>
    <w:rsid w:val="212C46B1"/>
    <w:rsid w:val="21ED3453"/>
    <w:rsid w:val="21EE6A3C"/>
    <w:rsid w:val="2238523C"/>
    <w:rsid w:val="22715B15"/>
    <w:rsid w:val="23AC70BE"/>
    <w:rsid w:val="24033141"/>
    <w:rsid w:val="25795502"/>
    <w:rsid w:val="258C075A"/>
    <w:rsid w:val="25AB5C72"/>
    <w:rsid w:val="26174DCD"/>
    <w:rsid w:val="265F1FF9"/>
    <w:rsid w:val="266D3B8D"/>
    <w:rsid w:val="2673135B"/>
    <w:rsid w:val="274970C1"/>
    <w:rsid w:val="288C42DB"/>
    <w:rsid w:val="2A9D08B5"/>
    <w:rsid w:val="2B147896"/>
    <w:rsid w:val="2B25139B"/>
    <w:rsid w:val="2B424556"/>
    <w:rsid w:val="2CC11655"/>
    <w:rsid w:val="2CF66F3B"/>
    <w:rsid w:val="2D96497A"/>
    <w:rsid w:val="2DFC3ABA"/>
    <w:rsid w:val="2E232AFF"/>
    <w:rsid w:val="2E3B1D53"/>
    <w:rsid w:val="2E874CFC"/>
    <w:rsid w:val="2ED70AD7"/>
    <w:rsid w:val="2F4D5996"/>
    <w:rsid w:val="2F7A178E"/>
    <w:rsid w:val="2FDE5397"/>
    <w:rsid w:val="2FE87747"/>
    <w:rsid w:val="30593884"/>
    <w:rsid w:val="308527DF"/>
    <w:rsid w:val="3088385B"/>
    <w:rsid w:val="30B9326C"/>
    <w:rsid w:val="31611445"/>
    <w:rsid w:val="318B0952"/>
    <w:rsid w:val="31DF7CC7"/>
    <w:rsid w:val="31FD63AA"/>
    <w:rsid w:val="321B1005"/>
    <w:rsid w:val="3229235E"/>
    <w:rsid w:val="3229411A"/>
    <w:rsid w:val="322D471F"/>
    <w:rsid w:val="32870C13"/>
    <w:rsid w:val="32C318DF"/>
    <w:rsid w:val="33481B81"/>
    <w:rsid w:val="335509C7"/>
    <w:rsid w:val="34801387"/>
    <w:rsid w:val="34DF1CC1"/>
    <w:rsid w:val="35323F4D"/>
    <w:rsid w:val="35F5341F"/>
    <w:rsid w:val="364D7507"/>
    <w:rsid w:val="36853699"/>
    <w:rsid w:val="36F15B92"/>
    <w:rsid w:val="36F95D7D"/>
    <w:rsid w:val="37113F81"/>
    <w:rsid w:val="383E476D"/>
    <w:rsid w:val="38587408"/>
    <w:rsid w:val="38774D48"/>
    <w:rsid w:val="38CC5ED8"/>
    <w:rsid w:val="3902565F"/>
    <w:rsid w:val="39694146"/>
    <w:rsid w:val="3B70590B"/>
    <w:rsid w:val="3B837370"/>
    <w:rsid w:val="3B8E0BEC"/>
    <w:rsid w:val="3C1259C9"/>
    <w:rsid w:val="3C21355B"/>
    <w:rsid w:val="3C9B0FCA"/>
    <w:rsid w:val="3D0C2C7D"/>
    <w:rsid w:val="3D162FD9"/>
    <w:rsid w:val="3D606B02"/>
    <w:rsid w:val="3DB053D5"/>
    <w:rsid w:val="3DBB4886"/>
    <w:rsid w:val="3DC61ABF"/>
    <w:rsid w:val="3DEA26E4"/>
    <w:rsid w:val="3E873D85"/>
    <w:rsid w:val="3EE01EF4"/>
    <w:rsid w:val="3FC65CE4"/>
    <w:rsid w:val="3FFD4C51"/>
    <w:rsid w:val="404D4025"/>
    <w:rsid w:val="40F2114B"/>
    <w:rsid w:val="4162246E"/>
    <w:rsid w:val="419E0086"/>
    <w:rsid w:val="41B94BAA"/>
    <w:rsid w:val="41B94E6B"/>
    <w:rsid w:val="41BA54AD"/>
    <w:rsid w:val="41DA5F81"/>
    <w:rsid w:val="426274DE"/>
    <w:rsid w:val="438F1213"/>
    <w:rsid w:val="43EF7CB6"/>
    <w:rsid w:val="441214EF"/>
    <w:rsid w:val="44A76620"/>
    <w:rsid w:val="44C9039D"/>
    <w:rsid w:val="45A21C1C"/>
    <w:rsid w:val="45DB5816"/>
    <w:rsid w:val="463955F5"/>
    <w:rsid w:val="467F19D6"/>
    <w:rsid w:val="46F53775"/>
    <w:rsid w:val="470B471F"/>
    <w:rsid w:val="47237B65"/>
    <w:rsid w:val="475C1AA9"/>
    <w:rsid w:val="479F76C3"/>
    <w:rsid w:val="47AC6349"/>
    <w:rsid w:val="47B41DDF"/>
    <w:rsid w:val="47B9772E"/>
    <w:rsid w:val="47EA4F22"/>
    <w:rsid w:val="47F50FE8"/>
    <w:rsid w:val="48316427"/>
    <w:rsid w:val="487A1FC6"/>
    <w:rsid w:val="48D54AAF"/>
    <w:rsid w:val="491C4AEB"/>
    <w:rsid w:val="492B5C25"/>
    <w:rsid w:val="49395B00"/>
    <w:rsid w:val="496C68DE"/>
    <w:rsid w:val="49DB0B80"/>
    <w:rsid w:val="4A257AB1"/>
    <w:rsid w:val="4A5C7F26"/>
    <w:rsid w:val="4ABA4758"/>
    <w:rsid w:val="4AFF07C1"/>
    <w:rsid w:val="4C2B3CBB"/>
    <w:rsid w:val="4CB56D71"/>
    <w:rsid w:val="4D656886"/>
    <w:rsid w:val="4DCD728F"/>
    <w:rsid w:val="4E1229E8"/>
    <w:rsid w:val="4EE84F7D"/>
    <w:rsid w:val="4F261EF2"/>
    <w:rsid w:val="4F3F1FEB"/>
    <w:rsid w:val="508005C7"/>
    <w:rsid w:val="50963008"/>
    <w:rsid w:val="50D26009"/>
    <w:rsid w:val="512F199A"/>
    <w:rsid w:val="515E556F"/>
    <w:rsid w:val="51CE5D14"/>
    <w:rsid w:val="521774C0"/>
    <w:rsid w:val="523F7E77"/>
    <w:rsid w:val="526A022B"/>
    <w:rsid w:val="52942ED4"/>
    <w:rsid w:val="52FE679A"/>
    <w:rsid w:val="53635160"/>
    <w:rsid w:val="53F02BBD"/>
    <w:rsid w:val="54087C43"/>
    <w:rsid w:val="540A0BB0"/>
    <w:rsid w:val="54151AB3"/>
    <w:rsid w:val="547C2982"/>
    <w:rsid w:val="54D12A5B"/>
    <w:rsid w:val="553A3D22"/>
    <w:rsid w:val="553D7376"/>
    <w:rsid w:val="555C7E27"/>
    <w:rsid w:val="56EA0736"/>
    <w:rsid w:val="56F72425"/>
    <w:rsid w:val="56F94133"/>
    <w:rsid w:val="570730E6"/>
    <w:rsid w:val="573D02BD"/>
    <w:rsid w:val="57546843"/>
    <w:rsid w:val="57D22477"/>
    <w:rsid w:val="581B3AC4"/>
    <w:rsid w:val="58270281"/>
    <w:rsid w:val="58836238"/>
    <w:rsid w:val="589247BF"/>
    <w:rsid w:val="58BF2BBA"/>
    <w:rsid w:val="58C3256A"/>
    <w:rsid w:val="58C80F7B"/>
    <w:rsid w:val="58E24971"/>
    <w:rsid w:val="59964EC4"/>
    <w:rsid w:val="59CA1E32"/>
    <w:rsid w:val="5A9D143D"/>
    <w:rsid w:val="5AE66300"/>
    <w:rsid w:val="5BBA585B"/>
    <w:rsid w:val="5BF472B6"/>
    <w:rsid w:val="5C0229DB"/>
    <w:rsid w:val="5C9E6E6F"/>
    <w:rsid w:val="5CC9121A"/>
    <w:rsid w:val="5CEF3E9C"/>
    <w:rsid w:val="5D2A03F6"/>
    <w:rsid w:val="5D915F69"/>
    <w:rsid w:val="5DAE6520"/>
    <w:rsid w:val="5DB30328"/>
    <w:rsid w:val="5DCF0D9F"/>
    <w:rsid w:val="5E250CB8"/>
    <w:rsid w:val="5E370097"/>
    <w:rsid w:val="5E3D49B5"/>
    <w:rsid w:val="5E6922B4"/>
    <w:rsid w:val="5E9667BD"/>
    <w:rsid w:val="5EAB68AB"/>
    <w:rsid w:val="5EF73BE2"/>
    <w:rsid w:val="5F3D3065"/>
    <w:rsid w:val="608A1152"/>
    <w:rsid w:val="608B20EF"/>
    <w:rsid w:val="60967BC8"/>
    <w:rsid w:val="609D521D"/>
    <w:rsid w:val="60CB0A19"/>
    <w:rsid w:val="61382481"/>
    <w:rsid w:val="614F566D"/>
    <w:rsid w:val="61BF196A"/>
    <w:rsid w:val="61F11689"/>
    <w:rsid w:val="61F873E4"/>
    <w:rsid w:val="62600656"/>
    <w:rsid w:val="62A44963"/>
    <w:rsid w:val="63036890"/>
    <w:rsid w:val="631349E3"/>
    <w:rsid w:val="631E05FA"/>
    <w:rsid w:val="63436BA2"/>
    <w:rsid w:val="634376F7"/>
    <w:rsid w:val="63D85F0D"/>
    <w:rsid w:val="65900A51"/>
    <w:rsid w:val="659C3396"/>
    <w:rsid w:val="65FC37D4"/>
    <w:rsid w:val="665935D9"/>
    <w:rsid w:val="66DA6564"/>
    <w:rsid w:val="671873DB"/>
    <w:rsid w:val="6764060A"/>
    <w:rsid w:val="677A24B6"/>
    <w:rsid w:val="68503E83"/>
    <w:rsid w:val="68781637"/>
    <w:rsid w:val="687A78F9"/>
    <w:rsid w:val="68CE1443"/>
    <w:rsid w:val="69124FDF"/>
    <w:rsid w:val="69901EC0"/>
    <w:rsid w:val="69CA49FB"/>
    <w:rsid w:val="6A00174F"/>
    <w:rsid w:val="6A043746"/>
    <w:rsid w:val="6A1353B2"/>
    <w:rsid w:val="6A326160"/>
    <w:rsid w:val="6A5357A1"/>
    <w:rsid w:val="6A78052C"/>
    <w:rsid w:val="6A875334"/>
    <w:rsid w:val="6A884503"/>
    <w:rsid w:val="6AC5360B"/>
    <w:rsid w:val="6ADF0274"/>
    <w:rsid w:val="6AFC6911"/>
    <w:rsid w:val="6B1B61E1"/>
    <w:rsid w:val="6B206B79"/>
    <w:rsid w:val="6BC85164"/>
    <w:rsid w:val="6BFB6BCB"/>
    <w:rsid w:val="6C842205"/>
    <w:rsid w:val="6D225641"/>
    <w:rsid w:val="6DF50E6C"/>
    <w:rsid w:val="6E0B664E"/>
    <w:rsid w:val="6E722F0C"/>
    <w:rsid w:val="6E8225F1"/>
    <w:rsid w:val="6F472C16"/>
    <w:rsid w:val="6F9718E7"/>
    <w:rsid w:val="6FD05487"/>
    <w:rsid w:val="70862B44"/>
    <w:rsid w:val="70A14CC1"/>
    <w:rsid w:val="70C3452F"/>
    <w:rsid w:val="71356FE0"/>
    <w:rsid w:val="718805D0"/>
    <w:rsid w:val="72CC0D0F"/>
    <w:rsid w:val="731E1707"/>
    <w:rsid w:val="73C72D5A"/>
    <w:rsid w:val="73F551D4"/>
    <w:rsid w:val="743C7925"/>
    <w:rsid w:val="7449202E"/>
    <w:rsid w:val="74A72714"/>
    <w:rsid w:val="74C25B06"/>
    <w:rsid w:val="74ED7A64"/>
    <w:rsid w:val="74F22980"/>
    <w:rsid w:val="754822C9"/>
    <w:rsid w:val="7549328A"/>
    <w:rsid w:val="757E669A"/>
    <w:rsid w:val="765561D3"/>
    <w:rsid w:val="767F3925"/>
    <w:rsid w:val="76E55379"/>
    <w:rsid w:val="772050C3"/>
    <w:rsid w:val="773D4564"/>
    <w:rsid w:val="776948CD"/>
    <w:rsid w:val="77C57565"/>
    <w:rsid w:val="77F814DF"/>
    <w:rsid w:val="78124E3D"/>
    <w:rsid w:val="78746F95"/>
    <w:rsid w:val="78B6314A"/>
    <w:rsid w:val="79181E93"/>
    <w:rsid w:val="7921275B"/>
    <w:rsid w:val="792D288C"/>
    <w:rsid w:val="79544E74"/>
    <w:rsid w:val="79905BFC"/>
    <w:rsid w:val="79E41632"/>
    <w:rsid w:val="7A3D329F"/>
    <w:rsid w:val="7A620D4B"/>
    <w:rsid w:val="7AA11E6E"/>
    <w:rsid w:val="7AA60219"/>
    <w:rsid w:val="7B71655A"/>
    <w:rsid w:val="7B8168E2"/>
    <w:rsid w:val="7C745F09"/>
    <w:rsid w:val="7CA377F5"/>
    <w:rsid w:val="7D2726CD"/>
    <w:rsid w:val="7D2F6FEA"/>
    <w:rsid w:val="7D347EF8"/>
    <w:rsid w:val="7E7D369D"/>
    <w:rsid w:val="7EBE117D"/>
    <w:rsid w:val="7EC22AF7"/>
    <w:rsid w:val="7F235214"/>
    <w:rsid w:val="7F442C7A"/>
    <w:rsid w:val="7FCA4AA4"/>
    <w:rsid w:val="7FD77C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1"/>
    <w:basedOn w:val="1"/>
    <w:next w:val="6"/>
    <w:qFormat/>
    <w:uiPriority w:val="0"/>
    <w:pPr>
      <w:keepNext/>
      <w:keepLines/>
      <w:spacing w:before="340" w:after="330" w:line="576" w:lineRule="auto"/>
      <w:outlineLvl w:val="0"/>
    </w:pPr>
    <w:rPr>
      <w:b/>
      <w:kern w:val="44"/>
      <w:sz w:val="44"/>
    </w:rPr>
  </w:style>
  <w:style w:type="paragraph" w:styleId="6">
    <w:name w:val="heading 2"/>
    <w:basedOn w:val="1"/>
    <w:next w:val="7"/>
    <w:link w:val="20"/>
    <w:unhideWhenUsed/>
    <w:qFormat/>
    <w:uiPriority w:val="0"/>
    <w:pPr>
      <w:keepNext/>
      <w:keepLines/>
      <w:adjustRightInd w:val="0"/>
      <w:snapToGrid w:val="0"/>
      <w:spacing w:before="100" w:after="100" w:line="360" w:lineRule="auto"/>
      <w:outlineLvl w:val="1"/>
    </w:pPr>
    <w:rPr>
      <w:rFonts w:ascii="Times New Roman" w:hAnsi="Times New Roman" w:eastAsia="仿宋" w:cs="Times New Roman"/>
      <w:b/>
      <w:sz w:val="32"/>
      <w:szCs w:val="32"/>
    </w:rPr>
  </w:style>
  <w:style w:type="paragraph" w:styleId="7">
    <w:name w:val="heading 3"/>
    <w:basedOn w:val="1"/>
    <w:next w:val="1"/>
    <w:unhideWhenUsed/>
    <w:qFormat/>
    <w:uiPriority w:val="0"/>
    <w:pPr>
      <w:keepNext/>
      <w:keepLines/>
      <w:adjustRightInd w:val="0"/>
      <w:snapToGrid w:val="0"/>
      <w:spacing w:before="100" w:after="100" w:line="360" w:lineRule="auto"/>
      <w:ind w:firstLine="560" w:firstLineChars="200"/>
      <w:outlineLvl w:val="2"/>
    </w:pPr>
    <w:rPr>
      <w:rFonts w:ascii="Times New Roman" w:hAnsi="Times New Roman" w:eastAsia="仿宋" w:cs="Times New Roman"/>
      <w:b/>
      <w:sz w:val="30"/>
      <w:szCs w:val="30"/>
    </w:rPr>
  </w:style>
  <w:style w:type="paragraph" w:styleId="8">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next w:val="4"/>
    <w:qFormat/>
    <w:uiPriority w:val="0"/>
    <w:pPr>
      <w:spacing w:after="120"/>
    </w:pPr>
  </w:style>
  <w:style w:type="paragraph" w:styleId="4">
    <w:name w:val="Body Text 2"/>
    <w:basedOn w:val="1"/>
    <w:qFormat/>
    <w:uiPriority w:val="0"/>
    <w:pPr>
      <w:spacing w:after="120" w:line="480" w:lineRule="auto"/>
    </w:pPr>
  </w:style>
  <w:style w:type="paragraph" w:styleId="9">
    <w:name w:val="annotation text"/>
    <w:basedOn w:val="1"/>
    <w:qFormat/>
    <w:uiPriority w:val="0"/>
    <w:pPr>
      <w:jc w:val="left"/>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qFormat/>
    <w:uiPriority w:val="0"/>
  </w:style>
  <w:style w:type="paragraph" w:styleId="13">
    <w:name w:val="toc 2"/>
    <w:basedOn w:val="1"/>
    <w:next w:val="1"/>
    <w:qFormat/>
    <w:uiPriority w:val="0"/>
    <w:pPr>
      <w:ind w:left="420" w:leftChars="200"/>
    </w:pPr>
  </w:style>
  <w:style w:type="paragraph" w:styleId="14">
    <w:name w:val="Normal (Web)"/>
    <w:basedOn w:val="1"/>
    <w:qFormat/>
    <w:uiPriority w:val="0"/>
    <w:pPr>
      <w:spacing w:beforeAutospacing="1" w:afterAutospacing="1"/>
      <w:jc w:val="left"/>
    </w:pPr>
    <w:rPr>
      <w:rFonts w:cs="Times New Roman"/>
      <w:kern w:val="0"/>
      <w:sz w:val="24"/>
    </w:rPr>
  </w:style>
  <w:style w:type="table" w:styleId="16">
    <w:name w:val="Table Grid"/>
    <w:basedOn w:val="1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0"/>
    <w:rPr>
      <w:b/>
    </w:rPr>
  </w:style>
  <w:style w:type="character" w:styleId="19">
    <w:name w:val="annotation reference"/>
    <w:basedOn w:val="17"/>
    <w:qFormat/>
    <w:uiPriority w:val="0"/>
    <w:rPr>
      <w:sz w:val="21"/>
      <w:szCs w:val="21"/>
    </w:rPr>
  </w:style>
  <w:style w:type="character" w:customStyle="1" w:styleId="20">
    <w:name w:val="标题 2 字符"/>
    <w:link w:val="6"/>
    <w:qFormat/>
    <w:uiPriority w:val="9"/>
    <w:rPr>
      <w:rFonts w:ascii="Times New Roman" w:hAnsi="Times New Roman" w:eastAsia="仿宋" w:cs="Times New Roman"/>
      <w:b/>
      <w:sz w:val="32"/>
      <w:szCs w:val="32"/>
    </w:rPr>
  </w:style>
  <w:style w:type="character" w:customStyle="1" w:styleId="21">
    <w:name w:val="font21"/>
    <w:basedOn w:val="17"/>
    <w:qFormat/>
    <w:uiPriority w:val="0"/>
    <w:rPr>
      <w:rFonts w:hint="eastAsia" w:ascii="黑体" w:hAnsi="宋体" w:eastAsia="黑体" w:cs="黑体"/>
      <w:color w:val="000000"/>
      <w:sz w:val="13"/>
      <w:szCs w:val="13"/>
      <w:u w:val="none"/>
    </w:rPr>
  </w:style>
  <w:style w:type="character" w:customStyle="1" w:styleId="22">
    <w:name w:val="font11"/>
    <w:basedOn w:val="17"/>
    <w:qFormat/>
    <w:uiPriority w:val="0"/>
    <w:rPr>
      <w:rFonts w:hint="default" w:ascii="Times New Roman" w:hAnsi="Times New Roman" w:cs="Times New Roman"/>
      <w:color w:val="000000"/>
      <w:sz w:val="13"/>
      <w:szCs w:val="13"/>
      <w:u w:val="none"/>
    </w:rPr>
  </w:style>
  <w:style w:type="character" w:customStyle="1" w:styleId="23">
    <w:name w:val="font51"/>
    <w:basedOn w:val="17"/>
    <w:qFormat/>
    <w:uiPriority w:val="0"/>
    <w:rPr>
      <w:rFonts w:hint="eastAsia" w:ascii="黑体" w:hAnsi="宋体" w:eastAsia="黑体" w:cs="黑体"/>
      <w:color w:val="000000"/>
      <w:sz w:val="13"/>
      <w:szCs w:val="13"/>
      <w:u w:val="none"/>
      <w:vertAlign w:val="superscript"/>
    </w:rPr>
  </w:style>
  <w:style w:type="character" w:customStyle="1" w:styleId="24">
    <w:name w:val="font41"/>
    <w:basedOn w:val="17"/>
    <w:qFormat/>
    <w:uiPriority w:val="0"/>
    <w:rPr>
      <w:rFonts w:hint="eastAsia" w:ascii="宋体" w:hAnsi="宋体" w:eastAsia="宋体" w:cs="宋体"/>
      <w:color w:val="000000"/>
      <w:sz w:val="22"/>
      <w:szCs w:val="22"/>
      <w:u w:val="none"/>
    </w:rPr>
  </w:style>
  <w:style w:type="paragraph" w:customStyle="1" w:styleId="25">
    <w:name w:val="WPSOffice手动目录 1"/>
    <w:qFormat/>
    <w:uiPriority w:val="0"/>
    <w:rPr>
      <w:rFonts w:ascii="Times New Roman" w:hAnsi="Times New Roman" w:eastAsia="宋体" w:cs="Times New Roman"/>
      <w:lang w:val="en-US" w:eastAsia="zh-CN" w:bidi="ar-SA"/>
    </w:rPr>
  </w:style>
  <w:style w:type="paragraph" w:customStyle="1" w:styleId="26">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7">
    <w:name w:val="表头"/>
    <w:basedOn w:val="1"/>
    <w:next w:val="1"/>
    <w:qFormat/>
    <w:uiPriority w:val="0"/>
    <w:pPr>
      <w:adjustRightInd w:val="0"/>
      <w:snapToGrid w:val="0"/>
      <w:spacing w:before="100" w:after="100" w:line="360" w:lineRule="auto"/>
      <w:jc w:val="center"/>
    </w:pPr>
    <w:rPr>
      <w:rFonts w:ascii="Times New Roman" w:hAnsi="Times New Roman" w:eastAsia="仿宋" w:cs="Times New Roman"/>
      <w:b/>
      <w:sz w:val="28"/>
      <w:szCs w:val="28"/>
    </w:rPr>
  </w:style>
  <w:style w:type="character" w:customStyle="1" w:styleId="28">
    <w:name w:val="font71"/>
    <w:basedOn w:val="17"/>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2969</Words>
  <Characters>3104</Characters>
  <Lines>40</Lines>
  <Paragraphs>11</Paragraphs>
  <TotalTime>1</TotalTime>
  <ScaleCrop>false</ScaleCrop>
  <LinksUpToDate>false</LinksUpToDate>
  <CharactersWithSpaces>3189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2021-05-19T12:19:00Z</dcterms:created>
  <dc:creator>Administrator</dc:creator>
  <cp:lastModifiedBy>Administrator</cp:lastModifiedBy>
  <dcterms:modified xsi:type="dcterms:W3CDTF">2022-05-10T00:45:23Z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D7B91FC35AA74446A7C95EEC3006BA4E</vt:lpwstr>
  </property>
</Properties>
</file>