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560" w:lineRule="exact"/>
        <w:jc w:val="center"/>
        <w:rPr>
          <w:rFonts w:ascii="华文中宋" w:hAnsi="华文中宋" w:eastAsia="华文中宋" w:cs="方正小标宋简体"/>
          <w:b/>
          <w:sz w:val="48"/>
          <w:szCs w:val="48"/>
        </w:rPr>
      </w:pPr>
      <w:r>
        <w:rPr>
          <w:rFonts w:hint="eastAsia" w:ascii="华文中宋" w:hAnsi="华文中宋" w:eastAsia="华文中宋" w:cs="方正小标宋简体"/>
          <w:b/>
          <w:sz w:val="48"/>
          <w:szCs w:val="48"/>
        </w:rPr>
        <w:t>三门峡市市场监督管理局</w:t>
      </w:r>
    </w:p>
    <w:p>
      <w:pPr>
        <w:spacing w:before="312" w:beforeLines="100" w:after="312" w:afterLines="100" w:line="360" w:lineRule="auto"/>
        <w:jc w:val="center"/>
        <w:rPr>
          <w:rFonts w:ascii="华文中宋" w:hAnsi="华文中宋" w:eastAsia="华文中宋" w:cs="方正小标宋简体"/>
          <w:b/>
          <w:sz w:val="48"/>
          <w:szCs w:val="48"/>
        </w:rPr>
      </w:pPr>
      <w:r>
        <w:rPr>
          <w:rFonts w:hint="eastAsia" w:ascii="华文中宋" w:hAnsi="华文中宋" w:eastAsia="华文中宋" w:cs="方正小标宋简体"/>
          <w:b/>
          <w:sz w:val="48"/>
          <w:szCs w:val="48"/>
        </w:rPr>
        <w:t>202</w:t>
      </w:r>
      <w:r>
        <w:rPr>
          <w:rFonts w:hint="eastAsia" w:ascii="华文中宋" w:hAnsi="华文中宋" w:eastAsia="华文中宋" w:cs="方正小标宋简体"/>
          <w:b/>
          <w:sz w:val="48"/>
          <w:szCs w:val="48"/>
          <w:lang w:val="en-US" w:eastAsia="zh-CN"/>
        </w:rPr>
        <w:t>1</w:t>
      </w:r>
      <w:r>
        <w:rPr>
          <w:rFonts w:hint="eastAsia" w:ascii="华文中宋" w:hAnsi="华文中宋" w:eastAsia="华文中宋" w:cs="方正小标宋简体"/>
          <w:b/>
          <w:sz w:val="48"/>
          <w:szCs w:val="48"/>
        </w:rPr>
        <w:t>年度项目支出自评报告</w:t>
      </w: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1606" w:firstLineChars="500"/>
        <w:rPr>
          <w:rFonts w:ascii="宋体" w:hAnsi="宋体" w:eastAsia="宋体" w:cs="宋体"/>
          <w:b/>
          <w:sz w:val="32"/>
          <w:szCs w:val="32"/>
        </w:rPr>
      </w:pPr>
    </w:p>
    <w:p>
      <w:pPr>
        <w:spacing w:before="100" w:after="100" w:line="360" w:lineRule="auto"/>
        <w:ind w:firstLine="1606" w:firstLineChars="500"/>
        <w:rPr>
          <w:rFonts w:ascii="宋体" w:hAnsi="宋体" w:eastAsia="宋体" w:cs="宋体"/>
          <w:b/>
          <w:sz w:val="32"/>
          <w:szCs w:val="32"/>
        </w:rPr>
      </w:pPr>
    </w:p>
    <w:p>
      <w:pPr>
        <w:spacing w:before="100" w:after="100" w:line="360" w:lineRule="auto"/>
        <w:ind w:firstLine="1285" w:firstLineChars="400"/>
        <w:rPr>
          <w:rFonts w:ascii="宋体" w:hAnsi="宋体" w:eastAsia="宋体" w:cs="宋体"/>
          <w:b/>
          <w:sz w:val="32"/>
          <w:szCs w:val="32"/>
        </w:rPr>
      </w:pPr>
      <w:r>
        <w:rPr>
          <w:rFonts w:hint="eastAsia" w:ascii="宋体" w:hAnsi="宋体" w:eastAsia="宋体" w:cs="宋体"/>
          <w:b/>
          <w:sz w:val="32"/>
          <w:szCs w:val="32"/>
        </w:rPr>
        <w:t>自评单位：三门峡市市场监督管理局</w:t>
      </w:r>
    </w:p>
    <w:p>
      <w:pPr>
        <w:spacing w:line="360" w:lineRule="auto"/>
        <w:ind w:firstLine="1285" w:firstLineChars="400"/>
        <w:rPr>
          <w:rFonts w:ascii="宋体" w:hAnsi="宋体" w:eastAsia="宋体" w:cs="宋体"/>
          <w:b/>
          <w:sz w:val="32"/>
          <w:szCs w:val="32"/>
        </w:rPr>
      </w:pPr>
      <w:r>
        <w:rPr>
          <w:rFonts w:hint="eastAsia" w:ascii="宋体" w:hAnsi="宋体" w:eastAsia="宋体" w:cs="宋体"/>
          <w:b/>
          <w:sz w:val="32"/>
          <w:szCs w:val="32"/>
        </w:rPr>
        <w:t>日    期：202</w:t>
      </w:r>
      <w:r>
        <w:rPr>
          <w:rFonts w:hint="eastAsia" w:ascii="宋体" w:hAnsi="宋体" w:eastAsia="宋体" w:cs="宋体"/>
          <w:b/>
          <w:sz w:val="32"/>
          <w:szCs w:val="32"/>
          <w:lang w:val="en-US" w:eastAsia="zh-CN"/>
        </w:rPr>
        <w:t>2</w:t>
      </w:r>
      <w:r>
        <w:rPr>
          <w:rFonts w:hint="eastAsia" w:ascii="宋体" w:hAnsi="宋体" w:eastAsia="宋体" w:cs="宋体"/>
          <w:b/>
          <w:sz w:val="32"/>
          <w:szCs w:val="32"/>
        </w:rPr>
        <w:t>年</w:t>
      </w:r>
      <w:r>
        <w:rPr>
          <w:rFonts w:hint="eastAsia" w:ascii="宋体" w:hAnsi="宋体" w:eastAsia="宋体" w:cs="宋体"/>
          <w:b/>
          <w:sz w:val="32"/>
          <w:szCs w:val="32"/>
          <w:lang w:val="en-US" w:eastAsia="zh-CN"/>
        </w:rPr>
        <w:t>4</w:t>
      </w:r>
      <w:r>
        <w:rPr>
          <w:rFonts w:hint="eastAsia" w:ascii="宋体" w:hAnsi="宋体" w:eastAsia="宋体" w:cs="宋体"/>
          <w:b/>
          <w:sz w:val="32"/>
          <w:szCs w:val="32"/>
        </w:rPr>
        <w:t>月</w:t>
      </w:r>
    </w:p>
    <w:p>
      <w:pPr>
        <w:jc w:val="center"/>
        <w:rPr>
          <w:rFonts w:ascii="宋体" w:hAnsi="宋体" w:eastAsia="宋体"/>
          <w:b/>
          <w:bCs/>
          <w:sz w:val="28"/>
          <w:szCs w:val="36"/>
        </w:rPr>
        <w:sectPr>
          <w:pgSz w:w="11906" w:h="16838"/>
          <w:pgMar w:top="1440" w:right="1800" w:bottom="1440" w:left="1800" w:header="851" w:footer="992" w:gutter="0"/>
          <w:pgNumType w:fmt="upperRoman"/>
          <w:cols w:space="425" w:num="1"/>
          <w:docGrid w:type="lines" w:linePitch="312" w:charSpace="0"/>
        </w:sectPr>
      </w:pPr>
    </w:p>
    <w:sdt>
      <w:sdtPr>
        <w:rPr>
          <w:rFonts w:hint="eastAsia" w:ascii="黑体" w:hAnsi="黑体" w:eastAsia="黑体" w:cs="黑体"/>
          <w:b/>
          <w:bCs/>
          <w:sz w:val="40"/>
          <w:szCs w:val="40"/>
        </w:rPr>
        <w:id w:val="147454492"/>
        <w15:color w:val="DBDBDB"/>
        <w:docPartObj>
          <w:docPartGallery w:val="Table of Contents"/>
          <w:docPartUnique/>
        </w:docPartObj>
      </w:sdtPr>
      <w:sdtEndPr>
        <w:rPr>
          <w:rFonts w:hint="eastAsia" w:ascii="黑体" w:hAnsi="黑体" w:eastAsia="黑体" w:cs="黑体"/>
          <w:b/>
          <w:bCs w:val="0"/>
          <w:sz w:val="32"/>
          <w:szCs w:val="32"/>
        </w:rPr>
      </w:sdtEndPr>
      <w:sdtContent>
        <w:p>
          <w:pPr>
            <w:jc w:val="center"/>
            <w:rPr>
              <w:rFonts w:ascii="黑体" w:hAnsi="黑体" w:eastAsia="黑体" w:cs="黑体"/>
              <w:b/>
              <w:bCs/>
              <w:sz w:val="40"/>
              <w:szCs w:val="40"/>
            </w:rPr>
          </w:pPr>
          <w:bookmarkStart w:id="0" w:name="_Toc6149"/>
          <w:r>
            <w:rPr>
              <w:rFonts w:hint="eastAsia" w:ascii="宋体" w:hAnsi="宋体" w:eastAsia="宋体" w:cs="宋体"/>
              <w:b/>
              <w:bCs/>
              <w:sz w:val="40"/>
              <w:szCs w:val="40"/>
            </w:rPr>
            <w:t>目录</w:t>
          </w:r>
        </w:p>
        <w:p>
          <w:pPr>
            <w:pStyle w:val="12"/>
            <w:tabs>
              <w:tab w:val="right" w:leader="dot" w:pos="8306"/>
            </w:tabs>
            <w:rPr>
              <w:rFonts w:ascii="黑体" w:hAnsi="黑体" w:eastAsia="黑体" w:cs="黑体"/>
              <w:sz w:val="28"/>
              <w:szCs w:val="28"/>
            </w:rPr>
          </w:pPr>
          <w:r>
            <w:rPr>
              <w:rFonts w:hint="eastAsia" w:ascii="黑体" w:hAnsi="黑体" w:eastAsia="黑体" w:cs="黑体"/>
              <w:b/>
              <w:sz w:val="28"/>
              <w:szCs w:val="28"/>
            </w:rPr>
            <w:fldChar w:fldCharType="begin"/>
          </w:r>
          <w:r>
            <w:rPr>
              <w:rFonts w:hint="eastAsia" w:ascii="黑体" w:hAnsi="黑体" w:eastAsia="黑体" w:cs="黑体"/>
              <w:b/>
              <w:sz w:val="28"/>
              <w:szCs w:val="28"/>
            </w:rPr>
            <w:instrText xml:space="preserve">TOC \o "1-2" \h \u </w:instrText>
          </w:r>
          <w:r>
            <w:rPr>
              <w:rFonts w:hint="eastAsia" w:ascii="黑体" w:hAnsi="黑体" w:eastAsia="黑体" w:cs="黑体"/>
              <w:b/>
              <w:sz w:val="28"/>
              <w:szCs w:val="28"/>
            </w:rPr>
            <w:fldChar w:fldCharType="separate"/>
          </w:r>
          <w:r>
            <w:fldChar w:fldCharType="begin"/>
          </w:r>
          <w:r>
            <w:instrText xml:space="preserve"> HYPERLINK \l "_Toc8994" </w:instrText>
          </w:r>
          <w:r>
            <w:fldChar w:fldCharType="separate"/>
          </w:r>
          <w:r>
            <w:rPr>
              <w:rFonts w:hint="eastAsia" w:ascii="黑体" w:hAnsi="黑体" w:eastAsia="黑体" w:cs="黑体"/>
              <w:sz w:val="28"/>
              <w:szCs w:val="28"/>
            </w:rPr>
            <w:t>一、项目支出基本情况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_Toc8994 \h </w:instrText>
          </w:r>
          <w:r>
            <w:rPr>
              <w:rFonts w:hint="eastAsia" w:ascii="黑体" w:hAnsi="黑体" w:eastAsia="黑体" w:cs="黑体"/>
              <w:sz w:val="28"/>
              <w:szCs w:val="28"/>
            </w:rPr>
            <w:fldChar w:fldCharType="separate"/>
          </w:r>
          <w:r>
            <w:rPr>
              <w:rFonts w:hint="eastAsia" w:ascii="黑体" w:hAnsi="黑体" w:eastAsia="黑体" w:cs="黑体"/>
              <w:sz w:val="28"/>
              <w:szCs w:val="28"/>
            </w:rPr>
            <w:t>- 1 -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"_Toc3794" </w:instrText>
          </w:r>
          <w:r>
            <w:fldChar w:fldCharType="separate"/>
          </w:r>
          <w:r>
            <w:rPr>
              <w:rFonts w:hint="eastAsia" w:ascii="黑体" w:hAnsi="黑体" w:eastAsia="黑体" w:cs="黑体"/>
              <w:sz w:val="28"/>
              <w:szCs w:val="28"/>
            </w:rPr>
            <w:t>（一）项目支出预算和执行情况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_Toc3794 \h </w:instrText>
          </w:r>
          <w:r>
            <w:rPr>
              <w:rFonts w:hint="eastAsia" w:ascii="黑体" w:hAnsi="黑体" w:eastAsia="黑体" w:cs="黑体"/>
              <w:sz w:val="28"/>
              <w:szCs w:val="28"/>
            </w:rPr>
            <w:fldChar w:fldCharType="separate"/>
          </w:r>
          <w:r>
            <w:rPr>
              <w:rFonts w:hint="eastAsia" w:ascii="黑体" w:hAnsi="黑体" w:eastAsia="黑体" w:cs="黑体"/>
              <w:sz w:val="28"/>
              <w:szCs w:val="28"/>
            </w:rPr>
            <w:t>- 1 -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"_Toc18985" </w:instrText>
          </w:r>
          <w:r>
            <w:fldChar w:fldCharType="separate"/>
          </w:r>
          <w:r>
            <w:rPr>
              <w:rFonts w:hint="eastAsia" w:ascii="黑体" w:hAnsi="黑体" w:eastAsia="黑体" w:cs="黑体"/>
              <w:sz w:val="28"/>
              <w:szCs w:val="28"/>
            </w:rPr>
            <w:t>（二）项目内容</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_Toc18985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"_Toc1563" </w:instrText>
          </w:r>
          <w:r>
            <w:fldChar w:fldCharType="separate"/>
          </w:r>
          <w:r>
            <w:rPr>
              <w:rFonts w:hint="eastAsia" w:ascii="黑体" w:hAnsi="黑体" w:eastAsia="黑体" w:cs="黑体"/>
              <w:sz w:val="28"/>
              <w:szCs w:val="28"/>
            </w:rPr>
            <w:t>（三）绩效目标批复情况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_Toc1563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"_Toc3283" </w:instrText>
          </w:r>
          <w:r>
            <w:fldChar w:fldCharType="separate"/>
          </w:r>
          <w:r>
            <w:rPr>
              <w:rFonts w:hint="eastAsia" w:ascii="黑体" w:hAnsi="黑体" w:eastAsia="黑体" w:cs="黑体"/>
              <w:sz w:val="28"/>
              <w:szCs w:val="28"/>
            </w:rPr>
            <w:t>二、单位自评工作开展情况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_Toc3283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"_Toc31667" </w:instrText>
          </w:r>
          <w:r>
            <w:fldChar w:fldCharType="separate"/>
          </w:r>
          <w:r>
            <w:rPr>
              <w:rFonts w:hint="eastAsia" w:ascii="黑体" w:hAnsi="黑体" w:eastAsia="黑体" w:cs="黑体"/>
              <w:sz w:val="28"/>
              <w:szCs w:val="28"/>
            </w:rPr>
            <w:t>（一）绩效自评目的和意义</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_Toc31667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"_Toc19943" </w:instrText>
          </w:r>
          <w:r>
            <w:fldChar w:fldCharType="separate"/>
          </w:r>
          <w:r>
            <w:rPr>
              <w:rFonts w:hint="eastAsia" w:ascii="黑体" w:hAnsi="黑体" w:eastAsia="黑体" w:cs="黑体"/>
              <w:sz w:val="28"/>
              <w:szCs w:val="28"/>
            </w:rPr>
            <w:t>（二）绩效自评对象和范围</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_Toc19943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"_Toc17151" </w:instrText>
          </w:r>
          <w:r>
            <w:fldChar w:fldCharType="separate"/>
          </w:r>
          <w:r>
            <w:rPr>
              <w:rFonts w:hint="eastAsia" w:ascii="黑体" w:hAnsi="黑体" w:eastAsia="黑体" w:cs="黑体"/>
              <w:sz w:val="28"/>
              <w:szCs w:val="28"/>
            </w:rPr>
            <w:t>（三）绩效评价的依据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_Toc17151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"_Toc2062" </w:instrText>
          </w:r>
          <w:r>
            <w:fldChar w:fldCharType="separate"/>
          </w:r>
          <w:r>
            <w:rPr>
              <w:rFonts w:hint="eastAsia" w:ascii="黑体" w:hAnsi="黑体" w:eastAsia="黑体" w:cs="黑体"/>
              <w:sz w:val="28"/>
              <w:szCs w:val="28"/>
            </w:rPr>
            <w:t>（四）评分方法</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_Toc2062 \h </w:instrText>
          </w:r>
          <w:r>
            <w:rPr>
              <w:rFonts w:hint="eastAsia" w:ascii="黑体" w:hAnsi="黑体" w:eastAsia="黑体" w:cs="黑体"/>
              <w:sz w:val="28"/>
              <w:szCs w:val="28"/>
            </w:rPr>
            <w:fldChar w:fldCharType="separate"/>
          </w:r>
          <w:r>
            <w:rPr>
              <w:rFonts w:hint="eastAsia" w:ascii="黑体" w:hAnsi="黑体" w:eastAsia="黑体" w:cs="黑体"/>
              <w:sz w:val="28"/>
              <w:szCs w:val="28"/>
            </w:rPr>
            <w:t>- 4 -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"_Toc21901" </w:instrText>
          </w:r>
          <w:r>
            <w:fldChar w:fldCharType="separate"/>
          </w:r>
          <w:r>
            <w:rPr>
              <w:rFonts w:hint="eastAsia" w:ascii="黑体" w:hAnsi="黑体" w:eastAsia="黑体" w:cs="黑体"/>
              <w:sz w:val="28"/>
              <w:szCs w:val="28"/>
            </w:rPr>
            <w:t>（五）绩效自评工作组织</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_Toc21901 \h </w:instrText>
          </w:r>
          <w:r>
            <w:rPr>
              <w:rFonts w:hint="eastAsia" w:ascii="黑体" w:hAnsi="黑体" w:eastAsia="黑体" w:cs="黑体"/>
              <w:sz w:val="28"/>
              <w:szCs w:val="28"/>
            </w:rPr>
            <w:fldChar w:fldCharType="separate"/>
          </w:r>
          <w:r>
            <w:rPr>
              <w:rFonts w:hint="eastAsia" w:ascii="黑体" w:hAnsi="黑体" w:eastAsia="黑体" w:cs="黑体"/>
              <w:sz w:val="28"/>
              <w:szCs w:val="28"/>
            </w:rPr>
            <w:t>- 5 -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"_Toc14843" </w:instrText>
          </w:r>
          <w:r>
            <w:fldChar w:fldCharType="separate"/>
          </w:r>
          <w:r>
            <w:rPr>
              <w:rFonts w:hint="eastAsia" w:ascii="黑体" w:hAnsi="黑体" w:eastAsia="黑体" w:cs="黑体"/>
              <w:sz w:val="28"/>
              <w:szCs w:val="28"/>
            </w:rPr>
            <w:t>三、</w:t>
          </w:r>
          <w:r>
            <w:rPr>
              <w:rFonts w:hint="eastAsia" w:ascii="黑体" w:hAnsi="黑体" w:eastAsia="黑体" w:cs="黑体"/>
              <w:sz w:val="28"/>
              <w:szCs w:val="28"/>
              <w:lang w:val="zh-CN"/>
            </w:rPr>
            <w:t>科室自评结果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_Toc14843 \h </w:instrText>
          </w:r>
          <w:r>
            <w:rPr>
              <w:rFonts w:hint="eastAsia" w:ascii="黑体" w:hAnsi="黑体" w:eastAsia="黑体" w:cs="黑体"/>
              <w:sz w:val="28"/>
              <w:szCs w:val="28"/>
            </w:rPr>
            <w:fldChar w:fldCharType="separate"/>
          </w:r>
          <w:r>
            <w:rPr>
              <w:rFonts w:hint="eastAsia" w:ascii="黑体" w:hAnsi="黑体" w:eastAsia="黑体" w:cs="黑体"/>
              <w:sz w:val="28"/>
              <w:szCs w:val="28"/>
            </w:rPr>
            <w:t>- 5 -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"_Toc32029" </w:instrText>
          </w:r>
          <w:r>
            <w:fldChar w:fldCharType="separate"/>
          </w:r>
          <w:r>
            <w:rPr>
              <w:rFonts w:hint="eastAsia" w:ascii="黑体" w:hAnsi="黑体" w:eastAsia="黑体" w:cs="黑体"/>
              <w:sz w:val="28"/>
              <w:szCs w:val="28"/>
              <w:lang w:val="zh-CN"/>
            </w:rPr>
            <w:t>（一）自评结果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_Toc32029 \h </w:instrText>
          </w:r>
          <w:r>
            <w:rPr>
              <w:rFonts w:hint="eastAsia" w:ascii="黑体" w:hAnsi="黑体" w:eastAsia="黑体" w:cs="黑体"/>
              <w:sz w:val="28"/>
              <w:szCs w:val="28"/>
            </w:rPr>
            <w:fldChar w:fldCharType="separate"/>
          </w:r>
          <w:r>
            <w:rPr>
              <w:rFonts w:hint="eastAsia" w:ascii="黑体" w:hAnsi="黑体" w:eastAsia="黑体" w:cs="黑体"/>
              <w:sz w:val="28"/>
              <w:szCs w:val="28"/>
            </w:rPr>
            <w:t>- 5 -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"_Toc4793" </w:instrText>
          </w:r>
          <w:r>
            <w:fldChar w:fldCharType="separate"/>
          </w:r>
          <w:r>
            <w:rPr>
              <w:rFonts w:hint="eastAsia" w:ascii="黑体" w:hAnsi="黑体" w:eastAsia="黑体" w:cs="黑体"/>
              <w:sz w:val="28"/>
              <w:szCs w:val="28"/>
              <w:lang w:val="zh-CN"/>
            </w:rPr>
            <w:t>四、 自评发现的问题及整改措施</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_Toc4793 \h </w:instrText>
          </w:r>
          <w:r>
            <w:rPr>
              <w:rFonts w:hint="eastAsia" w:ascii="黑体" w:hAnsi="黑体" w:eastAsia="黑体" w:cs="黑体"/>
              <w:sz w:val="28"/>
              <w:szCs w:val="28"/>
            </w:rPr>
            <w:fldChar w:fldCharType="separate"/>
          </w:r>
          <w:r>
            <w:rPr>
              <w:rFonts w:hint="eastAsia" w:ascii="黑体" w:hAnsi="黑体" w:eastAsia="黑体" w:cs="黑体"/>
              <w:sz w:val="28"/>
              <w:szCs w:val="28"/>
            </w:rPr>
            <w:t>- 7 -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"_Toc9140" </w:instrText>
          </w:r>
          <w:r>
            <w:fldChar w:fldCharType="separate"/>
          </w:r>
          <w:r>
            <w:rPr>
              <w:rFonts w:hint="eastAsia" w:ascii="黑体" w:hAnsi="黑体" w:eastAsia="黑体" w:cs="黑体"/>
              <w:sz w:val="28"/>
              <w:szCs w:val="28"/>
              <w:lang w:val="zh-CN"/>
            </w:rPr>
            <w:t>五、 绩效自评工作建议及预算安排建议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_Toc9140 \h </w:instrText>
          </w:r>
          <w:r>
            <w:rPr>
              <w:rFonts w:hint="eastAsia" w:ascii="黑体" w:hAnsi="黑体" w:eastAsia="黑体" w:cs="黑体"/>
              <w:sz w:val="28"/>
              <w:szCs w:val="28"/>
            </w:rPr>
            <w:fldChar w:fldCharType="separate"/>
          </w:r>
          <w:r>
            <w:rPr>
              <w:rFonts w:hint="eastAsia" w:ascii="黑体" w:hAnsi="黑体" w:eastAsia="黑体" w:cs="黑体"/>
              <w:sz w:val="28"/>
              <w:szCs w:val="28"/>
            </w:rPr>
            <w:t>- 7 -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"_Toc13416" </w:instrText>
          </w:r>
          <w:r>
            <w:fldChar w:fldCharType="separate"/>
          </w:r>
          <w:r>
            <w:rPr>
              <w:rFonts w:hint="eastAsia" w:ascii="黑体" w:hAnsi="黑体" w:eastAsia="黑体" w:cs="黑体"/>
              <w:sz w:val="28"/>
              <w:szCs w:val="28"/>
              <w:lang w:val="zh-CN"/>
            </w:rPr>
            <w:t>六、 其他需要说明的问题</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_Toc13416 \h </w:instrText>
          </w:r>
          <w:r>
            <w:rPr>
              <w:rFonts w:hint="eastAsia" w:ascii="黑体" w:hAnsi="黑体" w:eastAsia="黑体" w:cs="黑体"/>
              <w:sz w:val="28"/>
              <w:szCs w:val="28"/>
            </w:rPr>
            <w:fldChar w:fldCharType="separate"/>
          </w:r>
          <w:r>
            <w:rPr>
              <w:rFonts w:hint="eastAsia" w:ascii="黑体" w:hAnsi="黑体" w:eastAsia="黑体" w:cs="黑体"/>
              <w:sz w:val="28"/>
              <w:szCs w:val="28"/>
            </w:rPr>
            <w:t>- 8 -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"_Toc11062" </w:instrText>
          </w:r>
          <w:r>
            <w:fldChar w:fldCharType="separate"/>
          </w:r>
          <w:r>
            <w:rPr>
              <w:rFonts w:hint="eastAsia" w:ascii="黑体" w:hAnsi="黑体" w:eastAsia="黑体" w:cs="黑体"/>
              <w:sz w:val="28"/>
              <w:szCs w:val="28"/>
            </w:rPr>
            <w:fldChar w:fldCharType="end"/>
          </w:r>
        </w:p>
        <w:p>
          <w:pPr>
            <w:spacing w:line="360" w:lineRule="auto"/>
            <w:jc w:val="center"/>
            <w:rPr>
              <w:rFonts w:ascii="华文中宋" w:hAnsi="华文中宋" w:eastAsia="华文中宋" w:cs="方正小标宋简体"/>
              <w:b/>
              <w:szCs w:val="44"/>
            </w:rPr>
          </w:pPr>
          <w:r>
            <w:rPr>
              <w:rFonts w:hint="eastAsia" w:ascii="黑体" w:hAnsi="黑体" w:eastAsia="黑体" w:cs="黑体"/>
              <w:sz w:val="28"/>
              <w:szCs w:val="28"/>
            </w:rPr>
            <w:fldChar w:fldCharType="end"/>
          </w:r>
        </w:p>
      </w:sdtContent>
    </w:sdt>
    <w:p>
      <w:pPr>
        <w:widowControl/>
        <w:tabs>
          <w:tab w:val="left" w:pos="6997"/>
        </w:tabs>
        <w:jc w:val="left"/>
        <w:sectPr>
          <w:footerReference r:id="rId3" w:type="default"/>
          <w:pgSz w:w="11906" w:h="16838"/>
          <w:pgMar w:top="1440" w:right="1800" w:bottom="1440" w:left="1800" w:header="851" w:footer="992" w:gutter="0"/>
          <w:pgNumType w:fmt="upperRoman" w:start="1"/>
          <w:cols w:space="425" w:num="1"/>
          <w:docGrid w:type="lines" w:linePitch="312" w:charSpace="0"/>
        </w:sectPr>
      </w:pPr>
      <w:r>
        <w:rPr>
          <w:rFonts w:hint="eastAsia"/>
        </w:rPr>
        <w:tab/>
      </w:r>
    </w:p>
    <w:bookmarkEnd w:id="0"/>
    <w:p>
      <w:pPr>
        <w:spacing w:line="360" w:lineRule="auto"/>
        <w:jc w:val="center"/>
        <w:outlineLvl w:val="0"/>
        <w:rPr>
          <w:rFonts w:ascii="华文中宋" w:hAnsi="华文中宋" w:eastAsia="华文中宋" w:cs="方正小标宋简体"/>
          <w:b/>
          <w:sz w:val="44"/>
          <w:szCs w:val="44"/>
        </w:rPr>
      </w:pPr>
      <w:bookmarkStart w:id="1" w:name="_Toc22994"/>
      <w:bookmarkStart w:id="2" w:name="_Toc4141"/>
      <w:r>
        <w:rPr>
          <w:rFonts w:hint="eastAsia" w:ascii="华文中宋" w:hAnsi="华文中宋" w:eastAsia="华文中宋" w:cs="方正小标宋简体"/>
          <w:b/>
          <w:sz w:val="44"/>
          <w:szCs w:val="44"/>
        </w:rPr>
        <w:t>三门峡市市场监督管理局</w:t>
      </w:r>
      <w:bookmarkEnd w:id="1"/>
      <w:bookmarkEnd w:id="2"/>
    </w:p>
    <w:p>
      <w:pPr>
        <w:spacing w:line="360" w:lineRule="auto"/>
        <w:jc w:val="center"/>
        <w:outlineLvl w:val="0"/>
        <w:rPr>
          <w:rFonts w:ascii="华文中宋" w:hAnsi="华文中宋" w:eastAsia="华文中宋" w:cs="方正小标宋简体"/>
          <w:b/>
          <w:sz w:val="44"/>
          <w:szCs w:val="44"/>
        </w:rPr>
      </w:pPr>
      <w:bookmarkStart w:id="3" w:name="_Toc27784"/>
      <w:bookmarkStart w:id="4" w:name="_Toc10033"/>
      <w:bookmarkStart w:id="5" w:name="_Toc14085"/>
      <w:bookmarkStart w:id="6" w:name="_Toc31605"/>
      <w:bookmarkStart w:id="7" w:name="_Toc851"/>
      <w:bookmarkStart w:id="8" w:name="_Toc24313"/>
      <w:bookmarkStart w:id="9" w:name="_Toc15802"/>
      <w:bookmarkStart w:id="10" w:name="_Toc23711"/>
      <w:r>
        <w:rPr>
          <w:rFonts w:hint="eastAsia" w:ascii="华文中宋" w:hAnsi="华文中宋" w:eastAsia="华文中宋" w:cs="方正小标宋简体"/>
          <w:b/>
          <w:sz w:val="44"/>
          <w:szCs w:val="44"/>
        </w:rPr>
        <w:t>202</w:t>
      </w:r>
      <w:r>
        <w:rPr>
          <w:rFonts w:hint="eastAsia" w:ascii="华文中宋" w:hAnsi="华文中宋" w:eastAsia="华文中宋" w:cs="方正小标宋简体"/>
          <w:b/>
          <w:sz w:val="44"/>
          <w:szCs w:val="44"/>
          <w:lang w:val="en-US" w:eastAsia="zh-CN"/>
        </w:rPr>
        <w:t>1</w:t>
      </w:r>
      <w:r>
        <w:rPr>
          <w:rFonts w:hint="eastAsia" w:ascii="华文中宋" w:hAnsi="华文中宋" w:eastAsia="华文中宋" w:cs="方正小标宋简体"/>
          <w:b/>
          <w:sz w:val="44"/>
          <w:szCs w:val="44"/>
        </w:rPr>
        <w:t>年度项目支出自评报告</w:t>
      </w:r>
      <w:bookmarkEnd w:id="3"/>
      <w:bookmarkEnd w:id="4"/>
      <w:bookmarkEnd w:id="5"/>
      <w:bookmarkEnd w:id="6"/>
      <w:bookmarkEnd w:id="7"/>
      <w:bookmarkEnd w:id="8"/>
      <w:bookmarkEnd w:id="9"/>
      <w:bookmarkEnd w:id="10"/>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为深入贯彻落实</w:t>
      </w:r>
      <w:r>
        <w:rPr>
          <w:rFonts w:ascii="仿宋_GB2312" w:eastAsia="仿宋_GB2312" w:cs="仿宋_GB2312"/>
          <w:sz w:val="32"/>
          <w:szCs w:val="32"/>
          <w:lang w:val="zh-CN"/>
        </w:rPr>
        <w:t>《中共</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委</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人民政府关于全面实施预算绩效管理的实施意见》</w:t>
      </w:r>
      <w:r>
        <w:rPr>
          <w:rFonts w:hint="eastAsia" w:ascii="仿宋_GB2312" w:eastAsia="仿宋_GB2312" w:cs="仿宋_GB2312"/>
          <w:sz w:val="32"/>
          <w:szCs w:val="32"/>
        </w:rPr>
        <w:t>有关要求，健全绩效评价常态化机制，强化部门预算绩效管理主体责任，提高财政资金使用效益。按照《</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财政局关于开展202</w:t>
      </w:r>
      <w:r>
        <w:rPr>
          <w:rFonts w:hint="eastAsia" w:ascii="仿宋_GB2312" w:eastAsia="仿宋_GB2312" w:cs="仿宋_GB2312"/>
          <w:sz w:val="32"/>
          <w:szCs w:val="32"/>
          <w:lang w:val="en-US" w:eastAsia="zh-CN"/>
        </w:rPr>
        <w:t>1</w:t>
      </w:r>
      <w:r>
        <w:rPr>
          <w:rFonts w:ascii="仿宋_GB2312" w:eastAsia="仿宋_GB2312" w:cs="仿宋_GB2312"/>
          <w:sz w:val="32"/>
          <w:szCs w:val="32"/>
          <w:lang w:val="zh-CN"/>
        </w:rPr>
        <w:t>年度市级预算绩效自评工作的通知</w:t>
      </w:r>
      <w:r>
        <w:rPr>
          <w:rFonts w:hint="eastAsia" w:ascii="仿宋_GB2312" w:eastAsia="仿宋_GB2312" w:cs="仿宋_GB2312"/>
          <w:sz w:val="32"/>
          <w:szCs w:val="32"/>
        </w:rPr>
        <w:t>》（</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）文件的相关要求，我单位高度重视，成立了绩效自评工作领导小组，通过基础资料收集、问卷调查、数据汇总分析等工作程序，对部门整体的情况进行全面了解，根据</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文件要求，形成如下绩效自评报告。现将有关情况报告如下：</w:t>
      </w:r>
    </w:p>
    <w:p>
      <w:pPr>
        <w:pStyle w:val="5"/>
        <w:keepNext w:val="0"/>
        <w:keepLines w:val="0"/>
        <w:spacing w:before="0" w:after="0" w:line="360" w:lineRule="auto"/>
        <w:rPr>
          <w:rFonts w:ascii="黑体" w:hAnsi="黑体" w:eastAsia="黑体" w:cs="黑体"/>
          <w:sz w:val="32"/>
          <w:szCs w:val="32"/>
        </w:rPr>
      </w:pPr>
      <w:bookmarkStart w:id="11" w:name="_Toc8994"/>
      <w:bookmarkStart w:id="12" w:name="_Toc15017"/>
      <w:bookmarkStart w:id="13" w:name="_Toc13873"/>
      <w:r>
        <w:rPr>
          <w:rFonts w:hint="eastAsia" w:ascii="黑体" w:hAnsi="黑体" w:eastAsia="黑体" w:cs="黑体"/>
          <w:sz w:val="32"/>
          <w:szCs w:val="32"/>
        </w:rPr>
        <w:t>一、项目支出基本情况</w:t>
      </w:r>
      <w:bookmarkEnd w:id="11"/>
      <w:bookmarkEnd w:id="12"/>
      <w:bookmarkEnd w:id="13"/>
    </w:p>
    <w:p>
      <w:pPr>
        <w:pStyle w:val="6"/>
        <w:keepNext w:val="0"/>
        <w:keepLines w:val="0"/>
        <w:adjustRightInd/>
        <w:snapToGrid/>
        <w:spacing w:before="0" w:after="0"/>
        <w:rPr>
          <w:rFonts w:hint="eastAsia" w:ascii="黑体" w:hAnsi="黑体" w:eastAsia="黑体" w:cs="黑体"/>
          <w:sz w:val="30"/>
          <w:szCs w:val="30"/>
        </w:rPr>
      </w:pPr>
      <w:bookmarkStart w:id="14" w:name="_Toc3794"/>
      <w:bookmarkStart w:id="15" w:name="_Toc1381"/>
      <w:bookmarkStart w:id="16" w:name="_Toc19332"/>
      <w:r>
        <w:rPr>
          <w:rFonts w:hint="eastAsia" w:ascii="黑体" w:hAnsi="黑体" w:eastAsia="黑体" w:cs="黑体"/>
          <w:sz w:val="30"/>
          <w:szCs w:val="30"/>
        </w:rPr>
        <w:t>（一）项目</w:t>
      </w:r>
      <w:r>
        <w:rPr>
          <w:rFonts w:hint="eastAsia" w:ascii="黑体" w:hAnsi="黑体" w:eastAsia="黑体" w:cs="黑体"/>
        </w:rPr>
        <w:t>支出</w:t>
      </w:r>
      <w:r>
        <w:rPr>
          <w:rFonts w:hint="eastAsia" w:ascii="黑体" w:hAnsi="黑体" w:eastAsia="黑体" w:cs="黑体"/>
          <w:sz w:val="30"/>
          <w:szCs w:val="30"/>
        </w:rPr>
        <w:t>预算和执行情况</w:t>
      </w:r>
      <w:bookmarkEnd w:id="14"/>
      <w:bookmarkEnd w:id="15"/>
      <w:bookmarkEnd w:id="16"/>
    </w:p>
    <w:p>
      <w:pPr>
        <w:pStyle w:val="6"/>
        <w:keepNext w:val="0"/>
        <w:keepLines w:val="0"/>
        <w:pageBreakBefore w:val="0"/>
        <w:widowControl w:val="0"/>
        <w:kinsoku/>
        <w:wordWrap/>
        <w:overflowPunct/>
        <w:topLinePunct w:val="0"/>
        <w:autoSpaceDE/>
        <w:autoSpaceDN/>
        <w:bidi w:val="0"/>
        <w:adjustRightInd/>
        <w:snapToGrid/>
        <w:spacing w:before="0" w:after="0" w:line="600" w:lineRule="exact"/>
        <w:ind w:firstLine="640" w:firstLineChars="200"/>
        <w:jc w:val="left"/>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门峡市市场监督管理局主要职责为负责组织开展食品、特种设备、产品质量安全、反垄断、反不正当竞争、价格监督、网络交易监管、广告监管、知识产权保护、消费者权益保护等各类行政执法及相关检查、调查、宣传、培训等工作，加大市场监管综合执法力度，促进市场公平竞争，维护市场正常秩序，维护消费者利益和社会公共利益。</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机关后勤劳务费年初预算数为90万元，全年财政拨款90万元，全年项目实际支出90万元，预算执行率100%。</w:t>
      </w:r>
    </w:p>
    <w:p>
      <w:pPr>
        <w:pStyle w:val="6"/>
        <w:keepNext w:val="0"/>
        <w:keepLines w:val="0"/>
        <w:numPr>
          <w:ilvl w:val="0"/>
          <w:numId w:val="1"/>
        </w:numPr>
        <w:adjustRightInd/>
        <w:snapToGrid/>
        <w:spacing w:before="0" w:after="0"/>
        <w:rPr>
          <w:rFonts w:hint="eastAsia" w:ascii="黑体" w:hAnsi="黑体" w:eastAsia="黑体" w:cs="黑体"/>
          <w:sz w:val="30"/>
          <w:szCs w:val="30"/>
        </w:rPr>
      </w:pPr>
      <w:bookmarkStart w:id="17" w:name="_Toc18985"/>
      <w:bookmarkStart w:id="18" w:name="_Toc839"/>
      <w:bookmarkStart w:id="19" w:name="_Toc843"/>
      <w:r>
        <w:rPr>
          <w:rFonts w:hint="eastAsia" w:ascii="黑体" w:hAnsi="黑体" w:eastAsia="黑体" w:cs="黑体"/>
          <w:sz w:val="30"/>
          <w:szCs w:val="30"/>
        </w:rPr>
        <w:t>项目内容</w:t>
      </w:r>
      <w:bookmarkEnd w:id="17"/>
      <w:bookmarkEnd w:id="18"/>
      <w:bookmarkEnd w:id="19"/>
    </w:p>
    <w:p>
      <w:pPr>
        <w:pStyle w:val="7"/>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rPr>
        <w:t>由于市场监督管理局在经济发展中的作用日益凸显，对后勤保障的要求越来越高，群众对于政府工作人员的服务要求也越来越高，现有编制人员数难以满足实际需要，因此聘用了一些见习大学生</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12315热线人员、</w:t>
      </w:r>
      <w:r>
        <w:rPr>
          <w:rFonts w:hint="eastAsia" w:ascii="仿宋_GB2312" w:hAnsi="仿宋_GB2312" w:eastAsia="仿宋_GB2312" w:cs="仿宋_GB2312"/>
          <w:b w:val="0"/>
          <w:bCs/>
          <w:sz w:val="32"/>
          <w:szCs w:val="32"/>
        </w:rPr>
        <w:t>大厅临时人员</w:t>
      </w:r>
      <w:r>
        <w:rPr>
          <w:rFonts w:hint="eastAsia" w:ascii="仿宋_GB2312" w:hAnsi="仿宋_GB2312" w:eastAsia="仿宋_GB2312" w:cs="仿宋_GB2312"/>
          <w:b w:val="0"/>
          <w:bCs/>
          <w:sz w:val="32"/>
          <w:szCs w:val="32"/>
          <w:lang w:eastAsia="zh-CN"/>
        </w:rPr>
        <w:t>。</w:t>
      </w:r>
    </w:p>
    <w:p>
      <w:pPr>
        <w:pStyle w:val="7"/>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按照《市场监管总局关于整合建设12315行政执法体系更好服务市场监管执法的意见》和《河南省市场监督管理局关于印发整合建设12315行政执法体系更好服务市场监管执法实施方案的通知》以及</w:t>
      </w:r>
      <w:r>
        <w:rPr>
          <w:rFonts w:hint="eastAsia" w:ascii="仿宋_GB2312" w:hAnsi="仿宋_GB2312" w:eastAsia="仿宋_GB2312" w:cs="仿宋_GB2312"/>
          <w:b w:val="0"/>
          <w:bCs/>
          <w:color w:val="auto"/>
          <w:sz w:val="32"/>
          <w:szCs w:val="32"/>
          <w:lang w:val="en-US" w:eastAsia="zh-CN"/>
        </w:rPr>
        <w:t>《三门峡市市场监管局招录派遣员工会议纪要》和《人力资源派遣服务</w:t>
      </w:r>
      <w:r>
        <w:rPr>
          <w:rFonts w:hint="eastAsia" w:ascii="仿宋_GB2312" w:hAnsi="仿宋_GB2312" w:eastAsia="仿宋_GB2312" w:cs="仿宋_GB2312"/>
          <w:b w:val="0"/>
          <w:bCs/>
          <w:color w:val="auto"/>
          <w:sz w:val="32"/>
          <w:szCs w:val="32"/>
          <w:highlight w:val="none"/>
          <w:lang w:val="en-US" w:eastAsia="zh-CN"/>
        </w:rPr>
        <w:t>合同》的相关规定，</w:t>
      </w:r>
      <w:r>
        <w:rPr>
          <w:rFonts w:hint="eastAsia" w:ascii="仿宋_GB2312" w:hAnsi="仿宋_GB2312" w:eastAsia="仿宋_GB2312" w:cs="仿宋_GB2312"/>
          <w:b w:val="0"/>
          <w:bCs/>
          <w:color w:val="auto"/>
          <w:sz w:val="32"/>
          <w:szCs w:val="32"/>
          <w:lang w:val="en-US" w:eastAsia="zh-CN"/>
        </w:rPr>
        <w:t>12315指挥中心现有热线劳务派遣人员10人，以保证1</w:t>
      </w:r>
      <w:r>
        <w:rPr>
          <w:rFonts w:hint="eastAsia" w:ascii="仿宋_GB2312" w:hAnsi="仿宋_GB2312" w:eastAsia="仿宋_GB2312" w:cs="仿宋_GB2312"/>
          <w:b w:val="0"/>
          <w:bCs/>
          <w:sz w:val="32"/>
          <w:szCs w:val="32"/>
          <w:lang w:val="en-US" w:eastAsia="zh-CN"/>
        </w:rPr>
        <w:t>2315热线全年365天×24小时人工值守”的工作要求，充分发挥市场监管“晴雨表”、“稳压阀”的作用。</w:t>
      </w:r>
    </w:p>
    <w:p>
      <w:pPr>
        <w:pStyle w:val="7"/>
        <w:rPr>
          <w:rFonts w:hint="eastAsia" w:ascii="仿宋_GB2312" w:hAnsi="仿宋_GB2312" w:eastAsia="仿宋_GB2312" w:cs="仿宋_GB2312"/>
          <w:b w:val="0"/>
          <w:bCs/>
          <w:i w:val="0"/>
          <w:caps w:val="0"/>
          <w:color w:val="333333"/>
          <w:spacing w:val="0"/>
          <w:sz w:val="32"/>
          <w:szCs w:val="32"/>
          <w:shd w:val="clear" w:fill="FFFFFF"/>
          <w:lang w:eastAsia="zh-CN"/>
        </w:rPr>
      </w:pPr>
      <w:r>
        <w:rPr>
          <w:rFonts w:hint="eastAsia" w:ascii="仿宋_GB2312" w:hAnsi="仿宋_GB2312" w:eastAsia="仿宋_GB2312" w:cs="仿宋_GB2312"/>
          <w:b w:val="0"/>
          <w:bCs/>
          <w:i w:val="0"/>
          <w:caps w:val="0"/>
          <w:color w:val="333333"/>
          <w:spacing w:val="0"/>
          <w:sz w:val="32"/>
          <w:szCs w:val="32"/>
          <w:shd w:val="clear" w:fill="FFFFFF"/>
          <w:lang w:eastAsia="zh-CN"/>
        </w:rPr>
        <w:t>为努力打造中西部最优营商环境，我局</w:t>
      </w:r>
      <w:r>
        <w:rPr>
          <w:rFonts w:hint="eastAsia" w:ascii="仿宋_GB2312" w:hAnsi="仿宋_GB2312" w:eastAsia="仿宋_GB2312" w:cs="仿宋_GB2312"/>
          <w:b w:val="0"/>
          <w:bCs/>
          <w:i w:val="0"/>
          <w:caps w:val="0"/>
          <w:color w:val="333333"/>
          <w:spacing w:val="0"/>
          <w:sz w:val="32"/>
          <w:szCs w:val="32"/>
          <w:shd w:val="clear" w:fill="FFFFFF"/>
        </w:rPr>
        <w:t>坚持以服务对象为核心，创新改革服务新模式和工作思路，</w:t>
      </w:r>
      <w:r>
        <w:rPr>
          <w:rFonts w:hint="eastAsia" w:ascii="仿宋_GB2312" w:hAnsi="仿宋_GB2312" w:eastAsia="仿宋_GB2312" w:cs="仿宋_GB2312"/>
          <w:b w:val="0"/>
          <w:bCs/>
          <w:i w:val="0"/>
          <w:caps w:val="0"/>
          <w:color w:val="333333"/>
          <w:spacing w:val="0"/>
          <w:sz w:val="32"/>
          <w:szCs w:val="32"/>
          <w:shd w:val="clear" w:fill="FFFFFF"/>
          <w:lang w:eastAsia="zh-CN"/>
        </w:rPr>
        <w:t>聘请劳务派遣人员在大厅窗口为办事群众免费提供</w:t>
      </w:r>
      <w:r>
        <w:rPr>
          <w:rFonts w:hint="eastAsia" w:ascii="仿宋_GB2312" w:hAnsi="仿宋_GB2312" w:eastAsia="仿宋_GB2312" w:cs="仿宋_GB2312"/>
          <w:b w:val="0"/>
          <w:bCs/>
          <w:i w:val="0"/>
          <w:caps w:val="0"/>
          <w:color w:val="333333"/>
          <w:spacing w:val="0"/>
          <w:sz w:val="32"/>
          <w:szCs w:val="32"/>
          <w:shd w:val="clear" w:fill="FFFFFF"/>
        </w:rPr>
        <w:t>咨询导办、自助服务引导</w:t>
      </w:r>
      <w:r>
        <w:rPr>
          <w:rFonts w:hint="eastAsia" w:ascii="仿宋_GB2312" w:hAnsi="仿宋_GB2312" w:eastAsia="仿宋_GB2312" w:cs="仿宋_GB2312"/>
          <w:b w:val="0"/>
          <w:bCs/>
          <w:i w:val="0"/>
          <w:caps w:val="0"/>
          <w:color w:val="333333"/>
          <w:spacing w:val="0"/>
          <w:sz w:val="32"/>
          <w:szCs w:val="32"/>
          <w:shd w:val="clear" w:fill="FFFFFF"/>
          <w:lang w:eastAsia="zh-CN"/>
        </w:rPr>
        <w:t>，业务代办</w:t>
      </w:r>
      <w:r>
        <w:rPr>
          <w:rFonts w:hint="eastAsia" w:ascii="仿宋_GB2312" w:hAnsi="仿宋_GB2312" w:eastAsia="仿宋_GB2312" w:cs="仿宋_GB2312"/>
          <w:b w:val="0"/>
          <w:bCs/>
          <w:i w:val="0"/>
          <w:caps w:val="0"/>
          <w:color w:val="333333"/>
          <w:spacing w:val="0"/>
          <w:sz w:val="32"/>
          <w:szCs w:val="32"/>
          <w:shd w:val="clear" w:fill="FFFFFF"/>
        </w:rPr>
        <w:t>等</w:t>
      </w:r>
      <w:r>
        <w:rPr>
          <w:rFonts w:hint="eastAsia" w:ascii="仿宋_GB2312" w:hAnsi="仿宋_GB2312" w:eastAsia="仿宋_GB2312" w:cs="仿宋_GB2312"/>
          <w:b w:val="0"/>
          <w:bCs/>
          <w:i w:val="0"/>
          <w:caps w:val="0"/>
          <w:color w:val="333333"/>
          <w:spacing w:val="0"/>
          <w:sz w:val="32"/>
          <w:szCs w:val="32"/>
          <w:shd w:val="clear" w:fill="FFFFFF"/>
          <w:lang w:eastAsia="zh-CN"/>
        </w:rPr>
        <w:t>全方位</w:t>
      </w:r>
      <w:r>
        <w:rPr>
          <w:rFonts w:hint="eastAsia" w:ascii="仿宋_GB2312" w:hAnsi="仿宋_GB2312" w:eastAsia="仿宋_GB2312" w:cs="仿宋_GB2312"/>
          <w:b w:val="0"/>
          <w:bCs/>
          <w:i w:val="0"/>
          <w:caps w:val="0"/>
          <w:color w:val="333333"/>
          <w:spacing w:val="0"/>
          <w:sz w:val="32"/>
          <w:szCs w:val="32"/>
          <w:shd w:val="clear" w:fill="FFFFFF"/>
        </w:rPr>
        <w:t>服务，</w:t>
      </w:r>
      <w:r>
        <w:rPr>
          <w:rFonts w:hint="eastAsia" w:ascii="仿宋_GB2312" w:hAnsi="仿宋_GB2312" w:eastAsia="仿宋_GB2312" w:cs="仿宋_GB2312"/>
          <w:b w:val="0"/>
          <w:bCs/>
          <w:i w:val="0"/>
          <w:caps w:val="0"/>
          <w:color w:val="333333"/>
          <w:spacing w:val="0"/>
          <w:sz w:val="32"/>
          <w:szCs w:val="32"/>
          <w:shd w:val="clear" w:fill="FFFFFF"/>
          <w:lang w:eastAsia="zh-CN"/>
        </w:rPr>
        <w:t>进一步</w:t>
      </w:r>
      <w:r>
        <w:rPr>
          <w:rFonts w:hint="eastAsia" w:ascii="仿宋_GB2312" w:hAnsi="仿宋_GB2312" w:eastAsia="仿宋_GB2312" w:cs="仿宋_GB2312"/>
          <w:b w:val="0"/>
          <w:bCs/>
          <w:i w:val="0"/>
          <w:caps w:val="0"/>
          <w:color w:val="333333"/>
          <w:spacing w:val="0"/>
          <w:sz w:val="32"/>
          <w:szCs w:val="32"/>
          <w:shd w:val="clear" w:fill="FFFFFF"/>
        </w:rPr>
        <w:t>提升</w:t>
      </w:r>
      <w:r>
        <w:rPr>
          <w:rFonts w:hint="eastAsia" w:ascii="仿宋_GB2312" w:hAnsi="仿宋_GB2312" w:eastAsia="仿宋_GB2312" w:cs="仿宋_GB2312"/>
          <w:b w:val="0"/>
          <w:bCs/>
          <w:i w:val="0"/>
          <w:caps w:val="0"/>
          <w:color w:val="333333"/>
          <w:spacing w:val="0"/>
          <w:sz w:val="32"/>
          <w:szCs w:val="32"/>
          <w:shd w:val="clear" w:fill="FFFFFF"/>
          <w:lang w:val="en-US" w:eastAsia="zh-CN"/>
        </w:rPr>
        <w:t>了</w:t>
      </w:r>
      <w:r>
        <w:rPr>
          <w:rFonts w:hint="eastAsia" w:ascii="仿宋_GB2312" w:hAnsi="仿宋_GB2312" w:eastAsia="仿宋_GB2312" w:cs="仿宋_GB2312"/>
          <w:b w:val="0"/>
          <w:bCs/>
          <w:i w:val="0"/>
          <w:caps w:val="0"/>
          <w:color w:val="333333"/>
          <w:spacing w:val="0"/>
          <w:sz w:val="32"/>
          <w:szCs w:val="32"/>
          <w:shd w:val="clear" w:fill="FFFFFF"/>
        </w:rPr>
        <w:t>企业和群众的办事便利度，</w:t>
      </w:r>
      <w:r>
        <w:rPr>
          <w:rFonts w:hint="eastAsia" w:ascii="仿宋_GB2312" w:hAnsi="仿宋_GB2312" w:eastAsia="仿宋_GB2312" w:cs="仿宋_GB2312"/>
          <w:b w:val="0"/>
          <w:bCs/>
          <w:i w:val="0"/>
          <w:caps w:val="0"/>
          <w:color w:val="333333"/>
          <w:spacing w:val="0"/>
          <w:sz w:val="32"/>
          <w:szCs w:val="32"/>
          <w:shd w:val="clear" w:fill="FFFFFF"/>
          <w:lang w:eastAsia="zh-CN"/>
        </w:rPr>
        <w:t>增强了群众和企业的幸福感和获得感。</w:t>
      </w:r>
    </w:p>
    <w:p>
      <w:pPr>
        <w:rPr>
          <w:rFonts w:hint="eastAsia" w:eastAsia="仿宋_GB2312"/>
          <w:lang w:val="en-US" w:eastAsia="zh-CN"/>
        </w:rPr>
      </w:pPr>
      <w:r>
        <w:rPr>
          <w:rFonts w:hint="eastAsia" w:ascii="仿宋_GB2312" w:hAnsi="仿宋_GB2312" w:eastAsia="仿宋_GB2312" w:cs="仿宋_GB2312"/>
          <w:b w:val="0"/>
          <w:bCs/>
          <w:i w:val="0"/>
          <w:caps w:val="0"/>
          <w:color w:val="333333"/>
          <w:spacing w:val="0"/>
          <w:sz w:val="32"/>
          <w:szCs w:val="32"/>
          <w:shd w:val="clear" w:fill="FFFFFF"/>
          <w:lang w:val="en-US" w:eastAsia="zh-CN"/>
        </w:rPr>
        <w:t xml:space="preserve">     根据三门峡市人力资源和社会保障局关于印发《三门峡市就业见习管理实施细则》三人社就业【2020】1号的通知，我单位按照核定的见习岗位招录见习大学生，用于满足市场监管人员不足的工作需求。</w:t>
      </w:r>
      <w:bookmarkStart w:id="80" w:name="_GoBack"/>
      <w:bookmarkEnd w:id="80"/>
    </w:p>
    <w:p>
      <w:pPr>
        <w:pStyle w:val="6"/>
        <w:keepNext w:val="0"/>
        <w:keepLines w:val="0"/>
        <w:adjustRightInd/>
        <w:snapToGrid/>
        <w:spacing w:before="0" w:after="0"/>
        <w:rPr>
          <w:rFonts w:ascii="黑体" w:hAnsi="黑体" w:eastAsia="黑体" w:cs="黑体"/>
          <w:sz w:val="30"/>
          <w:szCs w:val="30"/>
        </w:rPr>
      </w:pPr>
      <w:bookmarkStart w:id="20" w:name="_Toc23203"/>
      <w:bookmarkStart w:id="21" w:name="_Toc1563"/>
      <w:bookmarkStart w:id="22" w:name="_Toc18257"/>
      <w:r>
        <w:rPr>
          <w:rFonts w:hint="eastAsia" w:ascii="黑体" w:hAnsi="黑体" w:eastAsia="黑体" w:cs="黑体"/>
          <w:sz w:val="30"/>
          <w:szCs w:val="30"/>
        </w:rPr>
        <w:t>（三）绩效目标批复情况</w:t>
      </w:r>
      <w:bookmarkEnd w:id="20"/>
      <w:bookmarkEnd w:id="21"/>
      <w:bookmarkEnd w:id="22"/>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我单位各科室根据历史依据和当年目标任务编制202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项目预算，并结合项目实际情况，按照“谁批复预算，谁批复目标”的原则，编报项目绩效目标申报表。提交市局审核汇总，上报三门峡市财政局审批，三门峡市财政局在市人代会批准部门年度预算后，将绩效目标随部门预算批复部门；部门将批复的绩效目标按预算管理级次细化批复到项目科室，并提出绩效管理具体工作要求。</w:t>
      </w:r>
    </w:p>
    <w:p>
      <w:pPr>
        <w:pStyle w:val="5"/>
        <w:keepNext w:val="0"/>
        <w:keepLines w:val="0"/>
        <w:spacing w:before="0" w:after="0" w:line="360" w:lineRule="auto"/>
        <w:rPr>
          <w:rFonts w:ascii="黑体" w:hAnsi="黑体" w:eastAsia="黑体" w:cs="黑体"/>
          <w:sz w:val="32"/>
          <w:szCs w:val="32"/>
        </w:rPr>
      </w:pPr>
      <w:bookmarkStart w:id="23" w:name="_Toc31315"/>
      <w:bookmarkStart w:id="24" w:name="_Toc3283"/>
      <w:bookmarkStart w:id="25" w:name="_Toc26306"/>
      <w:r>
        <w:rPr>
          <w:rFonts w:hint="eastAsia" w:ascii="黑体" w:hAnsi="黑体" w:eastAsia="黑体" w:cs="黑体"/>
          <w:sz w:val="32"/>
          <w:szCs w:val="32"/>
        </w:rPr>
        <w:t>二、单位</w:t>
      </w:r>
      <w:r>
        <w:rPr>
          <w:rFonts w:ascii="黑体" w:hAnsi="黑体" w:eastAsia="黑体" w:cs="黑体"/>
          <w:sz w:val="32"/>
          <w:szCs w:val="32"/>
        </w:rPr>
        <w:t>自评工作开展情况</w:t>
      </w:r>
      <w:bookmarkEnd w:id="23"/>
      <w:bookmarkEnd w:id="24"/>
      <w:bookmarkEnd w:id="25"/>
    </w:p>
    <w:p>
      <w:pPr>
        <w:pStyle w:val="6"/>
        <w:keepNext w:val="0"/>
        <w:keepLines w:val="0"/>
        <w:adjustRightInd/>
        <w:snapToGrid/>
        <w:spacing w:before="0" w:after="0"/>
        <w:rPr>
          <w:rFonts w:ascii="黑体" w:hAnsi="黑体" w:eastAsia="黑体" w:cs="黑体"/>
          <w:sz w:val="30"/>
          <w:szCs w:val="30"/>
        </w:rPr>
      </w:pPr>
      <w:bookmarkStart w:id="26" w:name="_Toc25866"/>
      <w:bookmarkStart w:id="27" w:name="_Toc12595"/>
      <w:bookmarkStart w:id="28" w:name="_Toc8544"/>
      <w:bookmarkStart w:id="29" w:name="_Toc31667"/>
      <w:bookmarkStart w:id="30" w:name="_Toc31583"/>
      <w:r>
        <w:rPr>
          <w:rFonts w:hint="eastAsia" w:ascii="黑体" w:hAnsi="黑体" w:eastAsia="黑体" w:cs="黑体"/>
          <w:sz w:val="30"/>
          <w:szCs w:val="30"/>
        </w:rPr>
        <w:t>（一）绩效自评目的和意义</w:t>
      </w:r>
      <w:bookmarkEnd w:id="26"/>
      <w:bookmarkEnd w:id="27"/>
      <w:bookmarkEnd w:id="28"/>
      <w:bookmarkEnd w:id="29"/>
      <w:bookmarkEnd w:id="3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预算支出绩效自评是预算单位运用科学、规范的评价方法，对照统一的评价标准，对预算支出的效率和效益进行的自我衡量和综合评价。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预算支出绩效自评的目的是：通过对绩效目标的综合考评，合理配置资源，优化支出结构，规范预算资金分配，提高财政资源配置效率和使用效益。</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推进预算支出绩效自评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6"/>
        <w:keepNext w:val="0"/>
        <w:keepLines w:val="0"/>
        <w:adjustRightInd/>
        <w:snapToGrid/>
        <w:spacing w:before="0" w:after="0"/>
        <w:rPr>
          <w:rFonts w:ascii="黑体" w:hAnsi="黑体" w:eastAsia="黑体" w:cs="黑体"/>
          <w:sz w:val="30"/>
          <w:szCs w:val="30"/>
        </w:rPr>
      </w:pPr>
      <w:bookmarkStart w:id="31" w:name="_Toc26818"/>
      <w:bookmarkStart w:id="32" w:name="_Toc19943"/>
      <w:bookmarkStart w:id="33" w:name="_Toc4202"/>
      <w:bookmarkStart w:id="34" w:name="_Toc9139"/>
      <w:bookmarkStart w:id="35" w:name="_Toc21569"/>
      <w:r>
        <w:rPr>
          <w:rFonts w:hint="eastAsia" w:ascii="黑体" w:hAnsi="黑体" w:eastAsia="黑体" w:cs="黑体"/>
          <w:sz w:val="30"/>
          <w:szCs w:val="30"/>
        </w:rPr>
        <w:t>（二）绩效自评对象和范围</w:t>
      </w:r>
      <w:bookmarkEnd w:id="31"/>
      <w:bookmarkEnd w:id="32"/>
      <w:bookmarkEnd w:id="33"/>
      <w:bookmarkEnd w:id="34"/>
      <w:bookmarkEnd w:id="35"/>
    </w:p>
    <w:p>
      <w:pPr>
        <w:spacing w:line="360" w:lineRule="auto"/>
        <w:ind w:firstLine="640" w:firstLineChars="200"/>
        <w:rPr>
          <w:rFonts w:ascii="仿宋_GB2312" w:hAnsi="仿宋_GB2312" w:eastAsia="仿宋_GB2312" w:cs="仿宋_GB2312"/>
          <w:sz w:val="32"/>
          <w:szCs w:val="32"/>
        </w:rPr>
      </w:pPr>
      <w:r>
        <w:rPr>
          <w:rFonts w:hint="eastAsia" w:ascii="仿宋_GB2312" w:eastAsia="仿宋_GB2312" w:cs="仿宋_GB2312"/>
          <w:sz w:val="32"/>
          <w:szCs w:val="32"/>
        </w:rPr>
        <w:t>本次绩效自评对象为</w:t>
      </w:r>
      <w:r>
        <w:rPr>
          <w:rFonts w:hint="eastAsia" w:ascii="仿宋_GB2312" w:eastAsia="仿宋_GB2312" w:cs="仿宋_GB2312"/>
          <w:sz w:val="32"/>
          <w:szCs w:val="32"/>
          <w:lang w:val="en-US" w:eastAsia="zh-CN"/>
        </w:rPr>
        <w:t>12315热线坐席</w:t>
      </w:r>
      <w:r>
        <w:rPr>
          <w:rFonts w:hint="eastAsia" w:ascii="仿宋_GB2312" w:eastAsia="仿宋_GB2312" w:cs="仿宋_GB2312"/>
          <w:sz w:val="32"/>
          <w:szCs w:val="32"/>
          <w:lang w:eastAsia="zh-CN"/>
        </w:rPr>
        <w:t>、见习大学生</w:t>
      </w:r>
      <w:r>
        <w:rPr>
          <w:rFonts w:hint="eastAsia" w:ascii="仿宋_GB2312" w:eastAsia="仿宋_GB2312" w:cs="仿宋_GB2312"/>
          <w:sz w:val="32"/>
          <w:szCs w:val="32"/>
        </w:rPr>
        <w:t>及大厅临时人员劳务支出，202</w:t>
      </w: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年市场监督局</w:t>
      </w:r>
      <w:r>
        <w:rPr>
          <w:rFonts w:hint="eastAsia" w:ascii="仿宋_GB2312" w:eastAsia="仿宋_GB2312" w:cs="仿宋_GB2312"/>
          <w:sz w:val="32"/>
          <w:szCs w:val="32"/>
          <w:lang w:eastAsia="zh-CN"/>
        </w:rPr>
        <w:t>为</w:t>
      </w:r>
      <w:r>
        <w:rPr>
          <w:rFonts w:hint="eastAsia" w:ascii="仿宋_GB2312" w:eastAsia="仿宋_GB2312" w:cs="仿宋_GB2312"/>
          <w:sz w:val="32"/>
          <w:szCs w:val="32"/>
          <w:lang w:val="en-US" w:eastAsia="zh-CN"/>
        </w:rPr>
        <w:t>12315热线坐席、</w:t>
      </w:r>
      <w:r>
        <w:rPr>
          <w:rFonts w:hint="eastAsia" w:ascii="仿宋_GB2312" w:eastAsia="仿宋_GB2312" w:cs="仿宋_GB2312"/>
          <w:sz w:val="32"/>
          <w:szCs w:val="32"/>
        </w:rPr>
        <w:t>大厅临时人员</w:t>
      </w:r>
      <w:r>
        <w:rPr>
          <w:rFonts w:hint="eastAsia" w:ascii="仿宋_GB2312" w:eastAsia="仿宋_GB2312" w:cs="仿宋_GB2312"/>
          <w:sz w:val="32"/>
          <w:szCs w:val="32"/>
          <w:lang w:eastAsia="zh-CN"/>
        </w:rPr>
        <w:t>以及见习大学生</w:t>
      </w:r>
      <w:r>
        <w:rPr>
          <w:rFonts w:hint="eastAsia" w:ascii="仿宋_GB2312" w:eastAsia="仿宋_GB2312" w:cs="仿宋_GB2312"/>
          <w:sz w:val="32"/>
          <w:szCs w:val="32"/>
        </w:rPr>
        <w:t>劳务费用</w:t>
      </w:r>
      <w:r>
        <w:rPr>
          <w:rFonts w:hint="eastAsia" w:ascii="仿宋_GB2312" w:eastAsia="仿宋_GB2312" w:cs="仿宋_GB2312"/>
          <w:sz w:val="32"/>
          <w:szCs w:val="32"/>
          <w:lang w:eastAsia="zh-CN"/>
        </w:rPr>
        <w:t>提供</w:t>
      </w:r>
      <w:r>
        <w:rPr>
          <w:rFonts w:hint="eastAsia" w:ascii="仿宋_GB2312" w:eastAsia="仿宋_GB2312" w:cs="仿宋_GB2312"/>
          <w:sz w:val="32"/>
          <w:szCs w:val="32"/>
        </w:rPr>
        <w:t>资金</w:t>
      </w:r>
      <w:r>
        <w:rPr>
          <w:rFonts w:hint="eastAsia" w:ascii="仿宋_GB2312" w:eastAsia="仿宋_GB2312" w:cs="仿宋_GB2312"/>
          <w:sz w:val="32"/>
          <w:szCs w:val="32"/>
          <w:lang w:val="en-US" w:eastAsia="zh-CN"/>
        </w:rPr>
        <w:t>90</w:t>
      </w:r>
      <w:r>
        <w:rPr>
          <w:rFonts w:ascii="仿宋_GB2312" w:eastAsia="仿宋_GB2312" w:cs="仿宋_GB2312"/>
          <w:sz w:val="32"/>
          <w:szCs w:val="32"/>
        </w:rPr>
        <w:t>万元</w:t>
      </w:r>
      <w:r>
        <w:rPr>
          <w:rFonts w:hint="eastAsia" w:ascii="仿宋_GB2312" w:eastAsia="仿宋_GB2312" w:cs="仿宋_GB2312"/>
          <w:sz w:val="32"/>
          <w:szCs w:val="32"/>
        </w:rPr>
        <w:t>，评</w:t>
      </w:r>
      <w:r>
        <w:rPr>
          <w:rFonts w:hint="eastAsia" w:ascii="仿宋_GB2312" w:hAnsi="仿宋_GB2312" w:eastAsia="仿宋_GB2312" w:cs="仿宋_GB2312"/>
          <w:sz w:val="32"/>
          <w:szCs w:val="32"/>
        </w:rPr>
        <w:t>价范围为涉及该项目管理及其预算资金使用绩效的相关情况。</w:t>
      </w:r>
    </w:p>
    <w:p>
      <w:pPr>
        <w:pStyle w:val="6"/>
        <w:keepNext w:val="0"/>
        <w:keepLines w:val="0"/>
        <w:adjustRightInd/>
        <w:snapToGrid/>
        <w:spacing w:before="0" w:after="0"/>
        <w:rPr>
          <w:rFonts w:ascii="黑体" w:hAnsi="黑体" w:eastAsia="黑体" w:cs="黑体"/>
          <w:sz w:val="30"/>
          <w:szCs w:val="30"/>
        </w:rPr>
      </w:pPr>
      <w:bookmarkStart w:id="36" w:name="_Toc17710"/>
      <w:bookmarkStart w:id="37" w:name="_Toc21596"/>
      <w:bookmarkStart w:id="38" w:name="_Toc17151"/>
      <w:bookmarkStart w:id="39" w:name="_Toc31552"/>
      <w:bookmarkStart w:id="40" w:name="_Toc23494"/>
      <w:r>
        <w:rPr>
          <w:rFonts w:hint="eastAsia" w:ascii="黑体" w:hAnsi="黑体" w:eastAsia="黑体" w:cs="黑体"/>
          <w:sz w:val="30"/>
          <w:szCs w:val="30"/>
        </w:rPr>
        <w:t>（三）绩效评价的依据</w:t>
      </w:r>
      <w:bookmarkEnd w:id="36"/>
      <w:bookmarkEnd w:id="37"/>
      <w:bookmarkEnd w:id="38"/>
      <w:bookmarkEnd w:id="39"/>
      <w:bookmarkEnd w:id="4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1.中共中央、国务院《关于全面实施预算绩效管理的意见》（中发〔2018〕34号）；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2.《项目支出绩效评价管理办法》（财预[2020]10号）；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3.《中共河南省委 河南省人民政府关于全面实施预算绩效管理的实施意见》（豫发〔2019〕10号）；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4.河南省财政厅关于印发《河南省省级预算项目支出绩效评价管理办法》的通知（豫财效〔2020〕10号）；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lang w:val="zh-CN"/>
        </w:rPr>
        <w:t>《中共</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委</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人民政府关于全面实施预算绩效管理的实施意见》（三发〔2020</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14号）</w:t>
      </w:r>
      <w:r>
        <w:rPr>
          <w:rFonts w:hint="eastAsia" w:ascii="仿宋_GB2312" w:hAnsi="仿宋_GB2312" w:eastAsia="仿宋_GB2312" w:cs="仿宋_GB2312"/>
          <w:sz w:val="32"/>
          <w:szCs w:val="32"/>
        </w:rPr>
        <w:t>；</w:t>
      </w:r>
    </w:p>
    <w:p>
      <w:pPr>
        <w:spacing w:line="360" w:lineRule="auto"/>
        <w:ind w:firstLine="640" w:firstLineChars="200"/>
        <w:rPr>
          <w:rFonts w:ascii="仿宋_GB2312" w:hAnsi="仿宋_GB2312" w:eastAsia="仿宋_GB2312" w:cs="仿宋_GB2312"/>
          <w:sz w:val="32"/>
          <w:szCs w:val="32"/>
        </w:rPr>
      </w:pPr>
      <w:bookmarkStart w:id="41" w:name="_Toc2346"/>
      <w:bookmarkStart w:id="42" w:name="_Toc15060"/>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财政局关于开展202</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lang w:val="zh-CN"/>
        </w:rPr>
        <w:t>年度市级预算绩效自评工作的通知</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三财效〔202</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lang w:val="zh-CN"/>
        </w:rPr>
        <w:t>〕3号</w:t>
      </w:r>
      <w:r>
        <w:rPr>
          <w:rFonts w:hint="eastAsia" w:ascii="仿宋_GB2312" w:hAnsi="仿宋_GB2312" w:eastAsia="仿宋_GB2312" w:cs="仿宋_GB2312"/>
          <w:sz w:val="32"/>
          <w:szCs w:val="32"/>
        </w:rPr>
        <w:t>）；</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7.与本次自评相关的其他资料。</w:t>
      </w:r>
    </w:p>
    <w:p>
      <w:pPr>
        <w:pStyle w:val="6"/>
        <w:keepNext w:val="0"/>
        <w:keepLines w:val="0"/>
        <w:adjustRightInd/>
        <w:snapToGrid/>
        <w:spacing w:before="0" w:after="0"/>
        <w:rPr>
          <w:rFonts w:ascii="黑体" w:hAnsi="黑体" w:eastAsia="黑体" w:cs="黑体"/>
          <w:sz w:val="30"/>
          <w:szCs w:val="30"/>
        </w:rPr>
      </w:pPr>
      <w:bookmarkStart w:id="43" w:name="_Toc1796"/>
      <w:bookmarkStart w:id="44" w:name="_Toc18992"/>
      <w:bookmarkStart w:id="45" w:name="_Toc2062"/>
      <w:r>
        <w:rPr>
          <w:rFonts w:hint="eastAsia" w:ascii="黑体" w:hAnsi="黑体" w:eastAsia="黑体" w:cs="黑体"/>
          <w:sz w:val="30"/>
          <w:szCs w:val="30"/>
        </w:rPr>
        <w:t>（四）评分方法</w:t>
      </w:r>
      <w:bookmarkEnd w:id="41"/>
      <w:bookmarkEnd w:id="42"/>
      <w:bookmarkEnd w:id="43"/>
      <w:bookmarkEnd w:id="44"/>
      <w:bookmarkEnd w:id="45"/>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根据财政部《项目支出绩效评价管理办法》（财预〔2020〕10 号）第十六条的相关要求：</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“单位自评采用定量与定性评价相结合的比较法，总分由各项指标得分汇总形成。</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定性指标得分按照以下方法评定：根据指标完成情况分为达成年度指标、部分达成年度指标并具有一定效果、未达成年度指标且效果较差三档，分别按照该指标对应分值区间100%—80%（含）、80%—60%（含）、60%—0%合理确定分值。”</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财政局关于开展202</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lang w:val="zh-CN"/>
        </w:rPr>
        <w:t>年度市级预算绩效自评工作的通知</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三财效〔202</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lang w:val="zh-CN"/>
        </w:rPr>
        <w:t>〕3号</w:t>
      </w:r>
      <w:r>
        <w:rPr>
          <w:rFonts w:hint="eastAsia" w:ascii="仿宋_GB2312" w:hAnsi="仿宋_GB2312" w:eastAsia="仿宋_GB2312" w:cs="仿宋_GB2312"/>
          <w:sz w:val="32"/>
          <w:szCs w:val="32"/>
        </w:rPr>
        <w:t>）相关要求：“</w:t>
      </w:r>
      <w:r>
        <w:rPr>
          <w:rFonts w:ascii="仿宋_GB2312" w:hAnsi="仿宋_GB2312" w:eastAsia="仿宋_GB2312" w:cs="仿宋_GB2312"/>
          <w:sz w:val="32"/>
          <w:szCs w:val="32"/>
          <w:lang w:val="zh-CN"/>
        </w:rPr>
        <w:t>绩效自评采取打分评价的形式，满分为100分，项目单位自评原则上一级指标分值统一设置为：产出指标50分、效益指标30分、服务对象满意度10分、预算资金执行率10分。</w:t>
      </w:r>
      <w:r>
        <w:rPr>
          <w:rFonts w:hint="eastAsia" w:ascii="仿宋_GB2312" w:hAnsi="仿宋_GB2312" w:eastAsia="仿宋_GB2312" w:cs="仿宋_GB2312"/>
          <w:sz w:val="32"/>
          <w:szCs w:val="32"/>
        </w:rPr>
        <w:t>”指标权重可根据指标的重要程度自主确定各项三级指标的权重分值，各项指标得分加总得出自评的总分。</w:t>
      </w:r>
    </w:p>
    <w:p>
      <w:pPr>
        <w:pStyle w:val="6"/>
        <w:keepNext w:val="0"/>
        <w:keepLines w:val="0"/>
        <w:adjustRightInd/>
        <w:snapToGrid/>
        <w:spacing w:before="0" w:after="0"/>
        <w:rPr>
          <w:rFonts w:ascii="黑体" w:hAnsi="黑体" w:eastAsia="黑体" w:cs="黑体"/>
          <w:sz w:val="30"/>
          <w:szCs w:val="30"/>
        </w:rPr>
      </w:pPr>
      <w:bookmarkStart w:id="46" w:name="_Toc21901"/>
      <w:bookmarkStart w:id="47" w:name="_Toc18185"/>
      <w:bookmarkStart w:id="48" w:name="_Toc7828"/>
      <w:bookmarkStart w:id="49" w:name="_Toc10949"/>
      <w:bookmarkStart w:id="50" w:name="_Toc15508"/>
      <w:r>
        <w:rPr>
          <w:rFonts w:hint="eastAsia" w:ascii="黑体" w:hAnsi="黑体" w:eastAsia="黑体" w:cs="黑体"/>
          <w:sz w:val="30"/>
          <w:szCs w:val="30"/>
        </w:rPr>
        <w:t>（五）绩效自评工作组织</w:t>
      </w:r>
      <w:bookmarkEnd w:id="46"/>
      <w:bookmarkEnd w:id="47"/>
      <w:bookmarkEnd w:id="48"/>
      <w:bookmarkEnd w:id="49"/>
      <w:bookmarkEnd w:id="5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我单位依据《三门峡市财政局关于开展202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年度市级预算绩效自评工作的通知》（三财效〔202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〕3号）相关要求，由</w:t>
      </w:r>
      <w:r>
        <w:rPr>
          <w:rFonts w:hint="eastAsia" w:ascii="仿宋_GB2312" w:hAnsi="仿宋_GB2312" w:eastAsia="仿宋_GB2312" w:cs="仿宋_GB2312"/>
          <w:sz w:val="32"/>
          <w:szCs w:val="32"/>
          <w:lang w:eastAsia="zh-CN"/>
        </w:rPr>
        <w:t>相关业务科室</w:t>
      </w:r>
      <w:r>
        <w:rPr>
          <w:rFonts w:hint="eastAsia" w:ascii="仿宋_GB2312" w:hAnsi="仿宋_GB2312" w:eastAsia="仿宋_GB2312" w:cs="仿宋_GB2312"/>
          <w:sz w:val="32"/>
          <w:szCs w:val="32"/>
        </w:rPr>
        <w:t>根据具体项目指定专人配合进行自评。</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工作组主要工作内容有：</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1.召开自评会议，进行自评工作的统一部署并组织项目相关成员进行必要的政策法规学习；</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.组织有效的调查研究、查阅相关资料；</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.根据获取的资料，依照《项目支出绩效自评表》进行合理打分；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.综合上述工作成果，撰写项目自评报告；</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.完成项目绩效评价相关政策所要求的其他事项；</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.发现问题，并落实整改。</w:t>
      </w:r>
    </w:p>
    <w:p>
      <w:pPr>
        <w:pStyle w:val="5"/>
        <w:keepNext w:val="0"/>
        <w:keepLines w:val="0"/>
        <w:spacing w:before="0" w:after="0" w:line="360" w:lineRule="auto"/>
        <w:rPr>
          <w:rFonts w:ascii="黑体" w:hAnsi="黑体" w:eastAsia="黑体" w:cs="黑体"/>
          <w:sz w:val="32"/>
          <w:szCs w:val="32"/>
          <w:lang w:val="zh-CN"/>
        </w:rPr>
      </w:pPr>
      <w:bookmarkStart w:id="51" w:name="_Toc14843"/>
      <w:bookmarkStart w:id="52" w:name="_Toc17646"/>
      <w:bookmarkStart w:id="53" w:name="_Toc16"/>
      <w:bookmarkStart w:id="54" w:name="_Toc5171"/>
      <w:bookmarkStart w:id="55" w:name="_Toc12278"/>
      <w:r>
        <w:rPr>
          <w:rFonts w:hint="eastAsia" w:ascii="黑体" w:hAnsi="黑体" w:eastAsia="黑体" w:cs="黑体"/>
          <w:sz w:val="32"/>
          <w:szCs w:val="32"/>
        </w:rPr>
        <w:t>三、</w:t>
      </w:r>
      <w:r>
        <w:rPr>
          <w:rFonts w:hint="eastAsia" w:ascii="黑体" w:hAnsi="黑体" w:eastAsia="黑体" w:cs="黑体"/>
          <w:sz w:val="32"/>
          <w:szCs w:val="32"/>
          <w:lang w:val="zh-CN"/>
        </w:rPr>
        <w:t>科室</w:t>
      </w:r>
      <w:r>
        <w:rPr>
          <w:rFonts w:ascii="黑体" w:hAnsi="黑体" w:eastAsia="黑体" w:cs="黑体"/>
          <w:sz w:val="32"/>
          <w:szCs w:val="32"/>
          <w:lang w:val="zh-CN"/>
        </w:rPr>
        <w:t>自评结果</w:t>
      </w:r>
      <w:bookmarkEnd w:id="51"/>
      <w:bookmarkEnd w:id="52"/>
      <w:bookmarkEnd w:id="53"/>
      <w:bookmarkEnd w:id="54"/>
      <w:bookmarkEnd w:id="55"/>
    </w:p>
    <w:p>
      <w:pPr>
        <w:pStyle w:val="6"/>
        <w:keepNext w:val="0"/>
        <w:keepLines w:val="0"/>
        <w:adjustRightInd/>
        <w:snapToGrid/>
        <w:spacing w:before="0" w:after="0"/>
        <w:rPr>
          <w:rFonts w:ascii="黑体" w:hAnsi="黑体" w:eastAsia="黑体" w:cs="黑体"/>
          <w:sz w:val="30"/>
          <w:szCs w:val="30"/>
          <w:lang w:val="zh-CN"/>
        </w:rPr>
      </w:pPr>
      <w:bookmarkStart w:id="56" w:name="_Toc32029"/>
      <w:bookmarkStart w:id="57" w:name="_Toc8066"/>
      <w:bookmarkStart w:id="58" w:name="_Toc32649"/>
      <w:r>
        <w:rPr>
          <w:rFonts w:ascii="黑体" w:hAnsi="黑体" w:eastAsia="黑体" w:cs="黑体"/>
          <w:sz w:val="30"/>
          <w:szCs w:val="30"/>
          <w:lang w:val="zh-CN"/>
        </w:rPr>
        <w:t>（一）自评结果</w:t>
      </w:r>
      <w:bookmarkEnd w:id="56"/>
      <w:bookmarkEnd w:id="57"/>
      <w:bookmarkEnd w:id="58"/>
    </w:p>
    <w:p>
      <w:pPr>
        <w:spacing w:line="360" w:lineRule="auto"/>
        <w:ind w:firstLine="640" w:firstLineChars="200"/>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根据</w:t>
      </w:r>
      <w:r>
        <w:rPr>
          <w:rFonts w:hint="eastAsia" w:ascii="仿宋_GB2312" w:hAnsi="仿宋_GB2312" w:eastAsia="仿宋_GB2312" w:cs="仿宋_GB2312"/>
          <w:sz w:val="32"/>
          <w:szCs w:val="32"/>
        </w:rPr>
        <w:t>《三门峡市财政局关于开展202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年度市级预算绩效自评工作的通知》（三财效〔202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〕3号）</w:t>
      </w:r>
      <w:r>
        <w:rPr>
          <w:rFonts w:ascii="仿宋_GB2312" w:hAnsi="仿宋_GB2312" w:eastAsia="仿宋_GB2312" w:cs="仿宋_GB2312"/>
          <w:sz w:val="32"/>
          <w:szCs w:val="32"/>
          <w:lang w:val="zh-CN"/>
        </w:rPr>
        <w:t>相关规定，绩效评价结果实行百分制和四级分类，分别是：90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-100分为优、80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rPr>
        <w:t>90</w:t>
      </w:r>
      <w:r>
        <w:rPr>
          <w:rFonts w:ascii="仿宋_GB2312" w:hAnsi="仿宋_GB2312" w:eastAsia="仿宋_GB2312" w:cs="仿宋_GB2312"/>
          <w:sz w:val="32"/>
          <w:szCs w:val="32"/>
          <w:lang w:val="zh-CN"/>
        </w:rPr>
        <w:t>分为良、60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rPr>
        <w:t>80</w:t>
      </w:r>
      <w:r>
        <w:rPr>
          <w:rFonts w:ascii="仿宋_GB2312" w:hAnsi="仿宋_GB2312" w:eastAsia="仿宋_GB2312" w:cs="仿宋_GB2312"/>
          <w:sz w:val="32"/>
          <w:szCs w:val="32"/>
          <w:lang w:val="zh-CN"/>
        </w:rPr>
        <w:t>分为中、</w:t>
      </w:r>
      <w:r>
        <w:rPr>
          <w:rFonts w:hint="eastAsia" w:ascii="仿宋_GB2312" w:hAnsi="仿宋_GB2312" w:eastAsia="仿宋_GB2312" w:cs="仿宋_GB2312"/>
          <w:sz w:val="32"/>
          <w:szCs w:val="32"/>
        </w:rPr>
        <w:t>60</w:t>
      </w:r>
      <w:r>
        <w:rPr>
          <w:rFonts w:ascii="仿宋_GB2312" w:hAnsi="仿宋_GB2312" w:eastAsia="仿宋_GB2312" w:cs="仿宋_GB2312"/>
          <w:sz w:val="32"/>
          <w:szCs w:val="32"/>
          <w:lang w:val="zh-CN"/>
        </w:rPr>
        <w:t>分</w:t>
      </w:r>
      <w:r>
        <w:rPr>
          <w:rFonts w:hint="eastAsia" w:ascii="仿宋_GB2312" w:hAnsi="仿宋_GB2312" w:eastAsia="仿宋_GB2312" w:cs="仿宋_GB2312"/>
          <w:sz w:val="32"/>
          <w:szCs w:val="32"/>
        </w:rPr>
        <w:t>以下</w:t>
      </w:r>
      <w:r>
        <w:rPr>
          <w:rFonts w:ascii="仿宋_GB2312" w:hAnsi="仿宋_GB2312" w:eastAsia="仿宋_GB2312" w:cs="仿宋_GB2312"/>
          <w:sz w:val="32"/>
          <w:szCs w:val="32"/>
          <w:lang w:val="zh-CN"/>
        </w:rPr>
        <w:t>为差。</w:t>
      </w:r>
    </w:p>
    <w:p>
      <w:pPr>
        <w:spacing w:line="36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我科室通过对本项目调查研究、座谈、查阅相关资料，根据相关政策要求进行打分，最终项目自评价得分为</w:t>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zh-CN"/>
        </w:rPr>
        <w:t>分，评价结果为优。</w:t>
      </w:r>
    </w:p>
    <w:p>
      <w:pPr>
        <w:pStyle w:val="5"/>
        <w:keepNext w:val="0"/>
        <w:keepLines w:val="0"/>
        <w:numPr>
          <w:ilvl w:val="0"/>
          <w:numId w:val="2"/>
        </w:numPr>
        <w:spacing w:before="0" w:after="0" w:line="360" w:lineRule="auto"/>
        <w:rPr>
          <w:rFonts w:ascii="黑体" w:hAnsi="黑体" w:eastAsia="黑体" w:cs="黑体"/>
          <w:sz w:val="32"/>
          <w:szCs w:val="32"/>
          <w:lang w:val="zh-CN"/>
        </w:rPr>
      </w:pPr>
      <w:bookmarkStart w:id="59" w:name="_Toc4793"/>
      <w:bookmarkStart w:id="60" w:name="_Toc11209"/>
      <w:bookmarkStart w:id="61" w:name="_Toc29526"/>
      <w:r>
        <w:rPr>
          <w:rFonts w:ascii="黑体" w:hAnsi="黑体" w:eastAsia="黑体" w:cs="黑体"/>
          <w:sz w:val="32"/>
          <w:szCs w:val="32"/>
          <w:lang w:val="zh-CN"/>
        </w:rPr>
        <w:t>自评发现的问题及整改措施</w:t>
      </w:r>
      <w:bookmarkEnd w:id="59"/>
      <w:bookmarkEnd w:id="60"/>
      <w:bookmarkEnd w:id="61"/>
      <w:bookmarkStart w:id="62" w:name="_Toc9511"/>
      <w:bookmarkStart w:id="63" w:name="_Toc17190"/>
    </w:p>
    <w:bookmarkEnd w:id="62"/>
    <w:bookmarkEnd w:id="63"/>
    <w:p>
      <w:pPr>
        <w:spacing w:line="360" w:lineRule="auto"/>
        <w:ind w:firstLine="640" w:firstLineChars="200"/>
        <w:rPr>
          <w:rFonts w:ascii="仿宋_GB2312" w:hAnsi="仿宋_GB2312" w:eastAsia="仿宋_GB2312" w:cs="仿宋_GB2312"/>
          <w:sz w:val="32"/>
          <w:szCs w:val="32"/>
          <w:lang w:val="zh-CN"/>
        </w:rPr>
      </w:pPr>
      <w:bookmarkStart w:id="64" w:name="_Toc21336"/>
      <w:bookmarkStart w:id="65" w:name="_Toc23893"/>
      <w:bookmarkStart w:id="66" w:name="_Toc20854"/>
      <w:bookmarkStart w:id="67" w:name="_Toc30248"/>
      <w:bookmarkStart w:id="68" w:name="_Toc16299"/>
      <w:r>
        <w:rPr>
          <w:rFonts w:hint="eastAsia" w:ascii="仿宋_GB2312" w:hAnsi="仿宋_GB2312" w:eastAsia="仿宋_GB2312" w:cs="仿宋_GB2312"/>
          <w:sz w:val="32"/>
          <w:szCs w:val="32"/>
          <w:lang w:val="zh-CN"/>
        </w:rPr>
        <w:t>发现由于前期对绩效评价认识不足，单位满意度指标值设置有限偏高，不够科学合理。</w:t>
      </w:r>
      <w:bookmarkEnd w:id="64"/>
      <w:bookmarkEnd w:id="65"/>
      <w:bookmarkEnd w:id="66"/>
      <w:bookmarkEnd w:id="67"/>
      <w:r>
        <w:rPr>
          <w:rFonts w:hint="eastAsia" w:ascii="仿宋_GB2312" w:hAnsi="仿宋_GB2312" w:eastAsia="仿宋_GB2312" w:cs="仿宋_GB2312"/>
          <w:sz w:val="32"/>
          <w:szCs w:val="32"/>
          <w:lang w:val="zh-CN"/>
        </w:rPr>
        <w:t>经费保障措施人数增加，年初人员编制不够合理。</w:t>
      </w:r>
      <w:bookmarkEnd w:id="68"/>
    </w:p>
    <w:p>
      <w:pPr>
        <w:spacing w:line="36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整改措施：</w:t>
      </w:r>
      <w:r>
        <w:rPr>
          <w:rFonts w:ascii="仿宋_GB2312" w:hAnsi="仿宋_GB2312" w:eastAsia="仿宋_GB2312" w:cs="仿宋_GB2312"/>
          <w:sz w:val="32"/>
          <w:szCs w:val="32"/>
          <w:lang w:val="zh-CN"/>
        </w:rPr>
        <w:t>科学制定绩效目标，参照历史数据、行业标准、计划标准等数据资料，设置指向明确、细化量化、合理可行、相应匹配的绩效目标，为后期开展绩效监控和评价提供基础支撑</w:t>
      </w:r>
      <w:r>
        <w:rPr>
          <w:rFonts w:hint="eastAsia" w:ascii="仿宋_GB2312" w:hAnsi="仿宋_GB2312" w:eastAsia="仿宋_GB2312" w:cs="仿宋_GB2312"/>
          <w:sz w:val="32"/>
          <w:szCs w:val="32"/>
          <w:lang w:val="zh-CN"/>
        </w:rPr>
        <w:t>。</w:t>
      </w:r>
    </w:p>
    <w:p>
      <w:pPr>
        <w:pStyle w:val="5"/>
        <w:keepNext w:val="0"/>
        <w:keepLines w:val="0"/>
        <w:numPr>
          <w:ilvl w:val="0"/>
          <w:numId w:val="2"/>
        </w:numPr>
        <w:spacing w:before="0" w:after="0" w:line="360" w:lineRule="auto"/>
        <w:rPr>
          <w:rFonts w:ascii="黑体" w:hAnsi="黑体" w:eastAsia="黑体" w:cs="黑体"/>
          <w:sz w:val="32"/>
          <w:szCs w:val="32"/>
          <w:lang w:val="zh-CN"/>
        </w:rPr>
      </w:pPr>
      <w:bookmarkStart w:id="69" w:name="_Toc9140"/>
      <w:bookmarkStart w:id="70" w:name="_Toc19784"/>
      <w:bookmarkStart w:id="71" w:name="_Toc31923"/>
      <w:r>
        <w:rPr>
          <w:rFonts w:ascii="黑体" w:hAnsi="黑体" w:eastAsia="黑体" w:cs="黑体"/>
          <w:sz w:val="32"/>
          <w:szCs w:val="32"/>
          <w:lang w:val="zh-CN"/>
        </w:rPr>
        <w:t>绩效自评工作建议及预算安排建议</w:t>
      </w:r>
      <w:bookmarkEnd w:id="69"/>
      <w:bookmarkEnd w:id="70"/>
      <w:bookmarkEnd w:id="71"/>
    </w:p>
    <w:p>
      <w:pPr>
        <w:spacing w:line="60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在编制部门年初预算时，结合部门主要工作任务，依据上年度项目资金绩效情况，合理分配项目资金，设置项目支出绩效目标和指标值。年度预算执行中，加强项目绩效运行监控，根据情况变化，及时按程序调整修订绩效目标和指标值、调整资金使用方向，加强资金使用情况的跟踪问效。年度终了，切实做好绩效自评工作，根据项目资金使用绩效情况，在编制下一年度部门预算时，合理分配部门预算项目资金。</w:t>
      </w:r>
    </w:p>
    <w:p>
      <w:pPr>
        <w:pStyle w:val="5"/>
        <w:keepNext w:val="0"/>
        <w:keepLines w:val="0"/>
        <w:numPr>
          <w:ilvl w:val="0"/>
          <w:numId w:val="3"/>
        </w:numPr>
        <w:spacing w:before="0" w:after="0" w:line="360" w:lineRule="auto"/>
        <w:rPr>
          <w:rFonts w:ascii="黑体" w:hAnsi="黑体" w:eastAsia="黑体" w:cs="黑体"/>
          <w:sz w:val="32"/>
          <w:szCs w:val="32"/>
          <w:lang w:val="zh-CN"/>
        </w:rPr>
      </w:pPr>
      <w:bookmarkStart w:id="72" w:name="_Toc13416"/>
      <w:bookmarkStart w:id="73" w:name="_Toc6756"/>
      <w:bookmarkStart w:id="74" w:name="_Toc4014"/>
      <w:r>
        <w:rPr>
          <w:rFonts w:ascii="黑体" w:hAnsi="黑体" w:eastAsia="黑体" w:cs="黑体"/>
          <w:sz w:val="32"/>
          <w:szCs w:val="32"/>
          <w:lang w:val="zh-CN"/>
        </w:rPr>
        <w:t>其他需要说明的问题</w:t>
      </w:r>
      <w:bookmarkEnd w:id="72"/>
      <w:bookmarkEnd w:id="73"/>
      <w:bookmarkEnd w:id="74"/>
    </w:p>
    <w:p>
      <w:pPr>
        <w:spacing w:line="360" w:lineRule="auto"/>
        <w:ind w:firstLine="640" w:firstLineChars="200"/>
        <w:rPr>
          <w:rFonts w:ascii="仿宋_GB2312" w:hAnsi="仿宋_GB2312" w:eastAsia="仿宋_GB2312" w:cs="仿宋_GB2312"/>
          <w:sz w:val="32"/>
          <w:szCs w:val="32"/>
          <w:lang w:val="zh-CN"/>
        </w:rPr>
      </w:pPr>
      <w:bookmarkStart w:id="75" w:name="_Toc10246"/>
      <w:bookmarkStart w:id="76" w:name="_Toc32568"/>
      <w:bookmarkStart w:id="77" w:name="_Toc5009"/>
      <w:r>
        <w:rPr>
          <w:rFonts w:hint="eastAsia" w:ascii="仿宋_GB2312" w:hAnsi="仿宋_GB2312" w:eastAsia="仿宋_GB2312" w:cs="仿宋_GB2312"/>
          <w:sz w:val="32"/>
          <w:szCs w:val="32"/>
          <w:lang w:val="zh-CN"/>
        </w:rPr>
        <w:t>需要说明的是：受多种因素影响，部分指标值难以考察取证</w:t>
      </w:r>
      <w:bookmarkEnd w:id="75"/>
      <w:bookmarkStart w:id="78" w:name="_Toc7176"/>
      <w:bookmarkStart w:id="79" w:name="_Toc12241"/>
      <w:r>
        <w:rPr>
          <w:rFonts w:hint="eastAsia" w:ascii="仿宋_GB2312" w:hAnsi="仿宋_GB2312" w:eastAsia="仿宋_GB2312" w:cs="仿宋_GB2312"/>
          <w:sz w:val="32"/>
          <w:szCs w:val="32"/>
          <w:lang w:val="zh-CN"/>
        </w:rPr>
        <w:t>。</w:t>
      </w:r>
      <w:bookmarkEnd w:id="76"/>
      <w:bookmarkEnd w:id="77"/>
    </w:p>
    <w:bookmarkEnd w:id="78"/>
    <w:bookmarkEnd w:id="79"/>
    <w:p/>
    <w:sectPr>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0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BF5004"/>
    <w:multiLevelType w:val="singleLevel"/>
    <w:tmpl w:val="B4BF5004"/>
    <w:lvl w:ilvl="0" w:tentative="0">
      <w:start w:val="2"/>
      <w:numFmt w:val="chineseCounting"/>
      <w:suff w:val="nothing"/>
      <w:lvlText w:val="（%1）"/>
      <w:lvlJc w:val="left"/>
      <w:rPr>
        <w:rFonts w:hint="eastAsia"/>
      </w:rPr>
    </w:lvl>
  </w:abstractNum>
  <w:abstractNum w:abstractNumId="1">
    <w:nsid w:val="C784B2E0"/>
    <w:multiLevelType w:val="singleLevel"/>
    <w:tmpl w:val="C784B2E0"/>
    <w:lvl w:ilvl="0" w:tentative="0">
      <w:start w:val="4"/>
      <w:numFmt w:val="chineseCounting"/>
      <w:suff w:val="nothing"/>
      <w:lvlText w:val="%1、"/>
      <w:lvlJc w:val="left"/>
      <w:rPr>
        <w:rFonts w:hint="eastAsia"/>
      </w:rPr>
    </w:lvl>
  </w:abstractNum>
  <w:abstractNum w:abstractNumId="2">
    <w:nsid w:val="7B5CFF8A"/>
    <w:multiLevelType w:val="singleLevel"/>
    <w:tmpl w:val="7B5CFF8A"/>
    <w:lvl w:ilvl="0" w:tentative="0">
      <w:start w:val="6"/>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2B23"/>
    <w:rsid w:val="00172A27"/>
    <w:rsid w:val="004C767E"/>
    <w:rsid w:val="0055721E"/>
    <w:rsid w:val="005D7A2F"/>
    <w:rsid w:val="006225BA"/>
    <w:rsid w:val="007D697E"/>
    <w:rsid w:val="0089071E"/>
    <w:rsid w:val="008E3E26"/>
    <w:rsid w:val="00A773BC"/>
    <w:rsid w:val="00D403CC"/>
    <w:rsid w:val="01115336"/>
    <w:rsid w:val="01CD24AB"/>
    <w:rsid w:val="01D11DD0"/>
    <w:rsid w:val="03687896"/>
    <w:rsid w:val="03A74472"/>
    <w:rsid w:val="03CF39B3"/>
    <w:rsid w:val="03E3527A"/>
    <w:rsid w:val="03FB180A"/>
    <w:rsid w:val="0475434D"/>
    <w:rsid w:val="04C15374"/>
    <w:rsid w:val="04E85A96"/>
    <w:rsid w:val="05310285"/>
    <w:rsid w:val="0545083A"/>
    <w:rsid w:val="05E94B02"/>
    <w:rsid w:val="06022C39"/>
    <w:rsid w:val="06241739"/>
    <w:rsid w:val="06367106"/>
    <w:rsid w:val="06403200"/>
    <w:rsid w:val="067D4911"/>
    <w:rsid w:val="06BE5943"/>
    <w:rsid w:val="06CD2CAD"/>
    <w:rsid w:val="06D44DB6"/>
    <w:rsid w:val="073C001E"/>
    <w:rsid w:val="076D7ABD"/>
    <w:rsid w:val="07EC720E"/>
    <w:rsid w:val="09517008"/>
    <w:rsid w:val="09520821"/>
    <w:rsid w:val="0B0A783A"/>
    <w:rsid w:val="0B4948C2"/>
    <w:rsid w:val="0B714783"/>
    <w:rsid w:val="0BA212E3"/>
    <w:rsid w:val="0BDB688F"/>
    <w:rsid w:val="0C1D2D9B"/>
    <w:rsid w:val="0C2B3B54"/>
    <w:rsid w:val="0D5B101A"/>
    <w:rsid w:val="0D887E78"/>
    <w:rsid w:val="0DAC117D"/>
    <w:rsid w:val="0DC63D28"/>
    <w:rsid w:val="0E00771B"/>
    <w:rsid w:val="0E243570"/>
    <w:rsid w:val="0E9C42BC"/>
    <w:rsid w:val="0EDC6DE7"/>
    <w:rsid w:val="0EF760A8"/>
    <w:rsid w:val="0F0A5349"/>
    <w:rsid w:val="0F386323"/>
    <w:rsid w:val="100C1C87"/>
    <w:rsid w:val="102A6D5E"/>
    <w:rsid w:val="10403E70"/>
    <w:rsid w:val="11181DA8"/>
    <w:rsid w:val="114558BD"/>
    <w:rsid w:val="11BE372B"/>
    <w:rsid w:val="11D94FBF"/>
    <w:rsid w:val="11DF7AA5"/>
    <w:rsid w:val="11EC2F93"/>
    <w:rsid w:val="121E4775"/>
    <w:rsid w:val="13326DFA"/>
    <w:rsid w:val="13663A30"/>
    <w:rsid w:val="13A84A9A"/>
    <w:rsid w:val="13C60661"/>
    <w:rsid w:val="14135BEE"/>
    <w:rsid w:val="142A71C6"/>
    <w:rsid w:val="143049A4"/>
    <w:rsid w:val="14AC70A9"/>
    <w:rsid w:val="14BD44C7"/>
    <w:rsid w:val="14DE3D76"/>
    <w:rsid w:val="1512287B"/>
    <w:rsid w:val="1520394C"/>
    <w:rsid w:val="155B3210"/>
    <w:rsid w:val="15C00483"/>
    <w:rsid w:val="15C71E5A"/>
    <w:rsid w:val="15EB0E81"/>
    <w:rsid w:val="15F135FB"/>
    <w:rsid w:val="16A86570"/>
    <w:rsid w:val="16AE72D0"/>
    <w:rsid w:val="16EE5D86"/>
    <w:rsid w:val="178B4BED"/>
    <w:rsid w:val="17A009E3"/>
    <w:rsid w:val="18074165"/>
    <w:rsid w:val="18180FA8"/>
    <w:rsid w:val="18570359"/>
    <w:rsid w:val="186944EF"/>
    <w:rsid w:val="19357C12"/>
    <w:rsid w:val="194F79C8"/>
    <w:rsid w:val="196138D2"/>
    <w:rsid w:val="19953697"/>
    <w:rsid w:val="19BA43E3"/>
    <w:rsid w:val="1A0558A0"/>
    <w:rsid w:val="1A4450BF"/>
    <w:rsid w:val="1AC12C79"/>
    <w:rsid w:val="1AF11A8C"/>
    <w:rsid w:val="1B7911A5"/>
    <w:rsid w:val="1B8B0E1E"/>
    <w:rsid w:val="1BBB2C8F"/>
    <w:rsid w:val="1BFD0F60"/>
    <w:rsid w:val="1C29383C"/>
    <w:rsid w:val="1C48271E"/>
    <w:rsid w:val="1D47313A"/>
    <w:rsid w:val="1D577E87"/>
    <w:rsid w:val="1D676463"/>
    <w:rsid w:val="1DC41A36"/>
    <w:rsid w:val="1DFC4D2D"/>
    <w:rsid w:val="1E216956"/>
    <w:rsid w:val="1E7C7AF5"/>
    <w:rsid w:val="1EA51E7C"/>
    <w:rsid w:val="1EC01BD4"/>
    <w:rsid w:val="1EEE3414"/>
    <w:rsid w:val="1F3A1FDC"/>
    <w:rsid w:val="1F6829D7"/>
    <w:rsid w:val="1F6E60BF"/>
    <w:rsid w:val="1FA65F70"/>
    <w:rsid w:val="1FFB2D1C"/>
    <w:rsid w:val="20E32BEF"/>
    <w:rsid w:val="212C46B1"/>
    <w:rsid w:val="21ED3453"/>
    <w:rsid w:val="21EE6A3C"/>
    <w:rsid w:val="22173210"/>
    <w:rsid w:val="22715B15"/>
    <w:rsid w:val="23AC70BE"/>
    <w:rsid w:val="24033141"/>
    <w:rsid w:val="25795502"/>
    <w:rsid w:val="25AB5C72"/>
    <w:rsid w:val="265F1FF9"/>
    <w:rsid w:val="266D3B8D"/>
    <w:rsid w:val="2673135B"/>
    <w:rsid w:val="274970C1"/>
    <w:rsid w:val="276A1161"/>
    <w:rsid w:val="27EB2655"/>
    <w:rsid w:val="280E37B3"/>
    <w:rsid w:val="288C42DB"/>
    <w:rsid w:val="2A053350"/>
    <w:rsid w:val="2A9D08B5"/>
    <w:rsid w:val="2B147896"/>
    <w:rsid w:val="2B25139B"/>
    <w:rsid w:val="2B424556"/>
    <w:rsid w:val="2CC11655"/>
    <w:rsid w:val="2CF66F3B"/>
    <w:rsid w:val="2D96497A"/>
    <w:rsid w:val="2DFC3ABA"/>
    <w:rsid w:val="2E3B1D53"/>
    <w:rsid w:val="2E874CFC"/>
    <w:rsid w:val="2ED70AD7"/>
    <w:rsid w:val="2F4D5996"/>
    <w:rsid w:val="2F7A178E"/>
    <w:rsid w:val="2FDE5397"/>
    <w:rsid w:val="2FE87747"/>
    <w:rsid w:val="30593884"/>
    <w:rsid w:val="308527DF"/>
    <w:rsid w:val="3088385B"/>
    <w:rsid w:val="30B9326C"/>
    <w:rsid w:val="318B0952"/>
    <w:rsid w:val="31DF7CC7"/>
    <w:rsid w:val="31FD63AA"/>
    <w:rsid w:val="3229235E"/>
    <w:rsid w:val="3229411A"/>
    <w:rsid w:val="322D471F"/>
    <w:rsid w:val="32870C13"/>
    <w:rsid w:val="32C318DF"/>
    <w:rsid w:val="333938FE"/>
    <w:rsid w:val="33481B81"/>
    <w:rsid w:val="335509C7"/>
    <w:rsid w:val="34801387"/>
    <w:rsid w:val="353161C3"/>
    <w:rsid w:val="35323F4D"/>
    <w:rsid w:val="35F5341F"/>
    <w:rsid w:val="364D7507"/>
    <w:rsid w:val="36853699"/>
    <w:rsid w:val="36F95D7D"/>
    <w:rsid w:val="37113F81"/>
    <w:rsid w:val="383E476D"/>
    <w:rsid w:val="38587408"/>
    <w:rsid w:val="38774D48"/>
    <w:rsid w:val="38CC5ED8"/>
    <w:rsid w:val="3902565F"/>
    <w:rsid w:val="39694146"/>
    <w:rsid w:val="3B70590B"/>
    <w:rsid w:val="3B837370"/>
    <w:rsid w:val="3B8E0BEC"/>
    <w:rsid w:val="3C1259C9"/>
    <w:rsid w:val="3C21355B"/>
    <w:rsid w:val="3C793323"/>
    <w:rsid w:val="3C9B0FCA"/>
    <w:rsid w:val="3D162FD9"/>
    <w:rsid w:val="3D606B02"/>
    <w:rsid w:val="3D917BA7"/>
    <w:rsid w:val="3DB053D5"/>
    <w:rsid w:val="3DBB4886"/>
    <w:rsid w:val="3DEA26E4"/>
    <w:rsid w:val="3E873D85"/>
    <w:rsid w:val="3EE01EF4"/>
    <w:rsid w:val="3FC65CE4"/>
    <w:rsid w:val="3FFD4C51"/>
    <w:rsid w:val="404D4025"/>
    <w:rsid w:val="40F2114B"/>
    <w:rsid w:val="4162246E"/>
    <w:rsid w:val="419E0086"/>
    <w:rsid w:val="41B94BAA"/>
    <w:rsid w:val="41B94E6B"/>
    <w:rsid w:val="41BA54AD"/>
    <w:rsid w:val="41DA5F81"/>
    <w:rsid w:val="426274DE"/>
    <w:rsid w:val="438F1213"/>
    <w:rsid w:val="43EF7CB6"/>
    <w:rsid w:val="441214EF"/>
    <w:rsid w:val="44A76620"/>
    <w:rsid w:val="44C9039D"/>
    <w:rsid w:val="45A21C1C"/>
    <w:rsid w:val="45DB5816"/>
    <w:rsid w:val="463955F5"/>
    <w:rsid w:val="467F19D6"/>
    <w:rsid w:val="46F53775"/>
    <w:rsid w:val="470B471F"/>
    <w:rsid w:val="47237B65"/>
    <w:rsid w:val="475C1AA9"/>
    <w:rsid w:val="47AC6349"/>
    <w:rsid w:val="47B41DDF"/>
    <w:rsid w:val="47B9772E"/>
    <w:rsid w:val="47EA4F22"/>
    <w:rsid w:val="48202CF9"/>
    <w:rsid w:val="48316427"/>
    <w:rsid w:val="487A1FC6"/>
    <w:rsid w:val="48D54AAF"/>
    <w:rsid w:val="48FA5F58"/>
    <w:rsid w:val="491C4AEB"/>
    <w:rsid w:val="492B5C25"/>
    <w:rsid w:val="49395B00"/>
    <w:rsid w:val="496C68DE"/>
    <w:rsid w:val="4A257AB1"/>
    <w:rsid w:val="4A5C7F26"/>
    <w:rsid w:val="4ABA4758"/>
    <w:rsid w:val="4AFF07C1"/>
    <w:rsid w:val="4C2B3CBB"/>
    <w:rsid w:val="4D656886"/>
    <w:rsid w:val="4DCD728F"/>
    <w:rsid w:val="4E1229E8"/>
    <w:rsid w:val="4EE84F7D"/>
    <w:rsid w:val="4F261EF2"/>
    <w:rsid w:val="4F3F1FEB"/>
    <w:rsid w:val="4FC1013D"/>
    <w:rsid w:val="508005C7"/>
    <w:rsid w:val="50963008"/>
    <w:rsid w:val="50D26009"/>
    <w:rsid w:val="512F199A"/>
    <w:rsid w:val="515E556F"/>
    <w:rsid w:val="51CE5D14"/>
    <w:rsid w:val="521774C0"/>
    <w:rsid w:val="523F7E77"/>
    <w:rsid w:val="526A022B"/>
    <w:rsid w:val="52942ED4"/>
    <w:rsid w:val="52FE679A"/>
    <w:rsid w:val="53635160"/>
    <w:rsid w:val="53932E02"/>
    <w:rsid w:val="53F02BBD"/>
    <w:rsid w:val="54087C43"/>
    <w:rsid w:val="54151AB3"/>
    <w:rsid w:val="54730B63"/>
    <w:rsid w:val="547C2982"/>
    <w:rsid w:val="54D12A5B"/>
    <w:rsid w:val="54E1622B"/>
    <w:rsid w:val="553A3D22"/>
    <w:rsid w:val="553D7376"/>
    <w:rsid w:val="555C7E27"/>
    <w:rsid w:val="556C4561"/>
    <w:rsid w:val="56D53CCE"/>
    <w:rsid w:val="56D710E1"/>
    <w:rsid w:val="56EA0736"/>
    <w:rsid w:val="56F72425"/>
    <w:rsid w:val="56F94133"/>
    <w:rsid w:val="570730E6"/>
    <w:rsid w:val="573D02BD"/>
    <w:rsid w:val="57546843"/>
    <w:rsid w:val="57D22477"/>
    <w:rsid w:val="581B3AC4"/>
    <w:rsid w:val="58270281"/>
    <w:rsid w:val="58836238"/>
    <w:rsid w:val="589247BF"/>
    <w:rsid w:val="58BF2BBA"/>
    <w:rsid w:val="58C3256A"/>
    <w:rsid w:val="58C80F7B"/>
    <w:rsid w:val="58E24971"/>
    <w:rsid w:val="59964EC4"/>
    <w:rsid w:val="59CA1E32"/>
    <w:rsid w:val="5A9D143D"/>
    <w:rsid w:val="5AE66300"/>
    <w:rsid w:val="5BBA585B"/>
    <w:rsid w:val="5BF472B6"/>
    <w:rsid w:val="5C9E6E6F"/>
    <w:rsid w:val="5CC9121A"/>
    <w:rsid w:val="5D2A03F6"/>
    <w:rsid w:val="5DAE6520"/>
    <w:rsid w:val="5DB30328"/>
    <w:rsid w:val="5DCF0D9F"/>
    <w:rsid w:val="5E250CB8"/>
    <w:rsid w:val="5E370097"/>
    <w:rsid w:val="5E3D49B5"/>
    <w:rsid w:val="5E6922B4"/>
    <w:rsid w:val="5E9667BD"/>
    <w:rsid w:val="5EAB68AB"/>
    <w:rsid w:val="5EF73BE2"/>
    <w:rsid w:val="5F3D3065"/>
    <w:rsid w:val="5F647B56"/>
    <w:rsid w:val="608A1152"/>
    <w:rsid w:val="608B20EF"/>
    <w:rsid w:val="60967BC8"/>
    <w:rsid w:val="609D521D"/>
    <w:rsid w:val="61382481"/>
    <w:rsid w:val="61BF196A"/>
    <w:rsid w:val="61F11689"/>
    <w:rsid w:val="61F873E4"/>
    <w:rsid w:val="62600656"/>
    <w:rsid w:val="62A44963"/>
    <w:rsid w:val="631349E3"/>
    <w:rsid w:val="631E05FA"/>
    <w:rsid w:val="63436BA2"/>
    <w:rsid w:val="634376F7"/>
    <w:rsid w:val="63D85F0D"/>
    <w:rsid w:val="646509A0"/>
    <w:rsid w:val="656E796F"/>
    <w:rsid w:val="65900A51"/>
    <w:rsid w:val="659C3396"/>
    <w:rsid w:val="65FC37D4"/>
    <w:rsid w:val="665935D9"/>
    <w:rsid w:val="66DA6564"/>
    <w:rsid w:val="674936FF"/>
    <w:rsid w:val="6764060A"/>
    <w:rsid w:val="677A24B6"/>
    <w:rsid w:val="68503E83"/>
    <w:rsid w:val="68781637"/>
    <w:rsid w:val="687A78F9"/>
    <w:rsid w:val="68CE1443"/>
    <w:rsid w:val="69124FDF"/>
    <w:rsid w:val="69901EC0"/>
    <w:rsid w:val="699A1C26"/>
    <w:rsid w:val="69CA49FB"/>
    <w:rsid w:val="6A043746"/>
    <w:rsid w:val="6A326160"/>
    <w:rsid w:val="6A5357A1"/>
    <w:rsid w:val="6A78052C"/>
    <w:rsid w:val="6A875334"/>
    <w:rsid w:val="6A884503"/>
    <w:rsid w:val="6AC5360B"/>
    <w:rsid w:val="6ADF0274"/>
    <w:rsid w:val="6AFC6911"/>
    <w:rsid w:val="6B1B61E1"/>
    <w:rsid w:val="6B206B79"/>
    <w:rsid w:val="6BC85164"/>
    <w:rsid w:val="6BFB6BCB"/>
    <w:rsid w:val="6C842205"/>
    <w:rsid w:val="6D225641"/>
    <w:rsid w:val="6D26039E"/>
    <w:rsid w:val="6E0B664E"/>
    <w:rsid w:val="6E722F0C"/>
    <w:rsid w:val="6E8225F1"/>
    <w:rsid w:val="6F472C16"/>
    <w:rsid w:val="6F9718E7"/>
    <w:rsid w:val="6F9F3122"/>
    <w:rsid w:val="6FD05487"/>
    <w:rsid w:val="705C6981"/>
    <w:rsid w:val="70862B44"/>
    <w:rsid w:val="70B072DF"/>
    <w:rsid w:val="70C3452F"/>
    <w:rsid w:val="71356FE0"/>
    <w:rsid w:val="716F6F3B"/>
    <w:rsid w:val="718805D0"/>
    <w:rsid w:val="72CC0D0F"/>
    <w:rsid w:val="731E1707"/>
    <w:rsid w:val="73C72D5A"/>
    <w:rsid w:val="73F551D4"/>
    <w:rsid w:val="743C7925"/>
    <w:rsid w:val="7449202E"/>
    <w:rsid w:val="74A72714"/>
    <w:rsid w:val="74ED7A64"/>
    <w:rsid w:val="74F22980"/>
    <w:rsid w:val="754822C9"/>
    <w:rsid w:val="7549328A"/>
    <w:rsid w:val="757E669A"/>
    <w:rsid w:val="765561D3"/>
    <w:rsid w:val="767F3925"/>
    <w:rsid w:val="76E55379"/>
    <w:rsid w:val="76EE4358"/>
    <w:rsid w:val="772050C3"/>
    <w:rsid w:val="773D4564"/>
    <w:rsid w:val="776948CD"/>
    <w:rsid w:val="77C57565"/>
    <w:rsid w:val="77F814DF"/>
    <w:rsid w:val="78746F95"/>
    <w:rsid w:val="78B35F4B"/>
    <w:rsid w:val="78B6314A"/>
    <w:rsid w:val="78D43BC9"/>
    <w:rsid w:val="79181E93"/>
    <w:rsid w:val="7921275B"/>
    <w:rsid w:val="79544E74"/>
    <w:rsid w:val="79905BFC"/>
    <w:rsid w:val="79E41632"/>
    <w:rsid w:val="7A3D329F"/>
    <w:rsid w:val="7A620D4B"/>
    <w:rsid w:val="7AA11E6E"/>
    <w:rsid w:val="7AA60219"/>
    <w:rsid w:val="7ABE2CF1"/>
    <w:rsid w:val="7B71655A"/>
    <w:rsid w:val="7B8168E2"/>
    <w:rsid w:val="7B8C1329"/>
    <w:rsid w:val="7C745F09"/>
    <w:rsid w:val="7CA377F5"/>
    <w:rsid w:val="7D2726CD"/>
    <w:rsid w:val="7D2F6FEA"/>
    <w:rsid w:val="7D347EF8"/>
    <w:rsid w:val="7DCE6950"/>
    <w:rsid w:val="7E7D369D"/>
    <w:rsid w:val="7EBE117D"/>
    <w:rsid w:val="7EC22AF7"/>
    <w:rsid w:val="7F442C7A"/>
    <w:rsid w:val="7FCA4AA4"/>
    <w:rsid w:val="7FD7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6"/>
    <w:qFormat/>
    <w:uiPriority w:val="0"/>
    <w:pPr>
      <w:keepNext/>
      <w:keepLines/>
      <w:spacing w:before="340" w:after="330" w:line="576" w:lineRule="auto"/>
      <w:outlineLvl w:val="0"/>
    </w:pPr>
    <w:rPr>
      <w:b/>
      <w:kern w:val="44"/>
      <w:sz w:val="44"/>
    </w:rPr>
  </w:style>
  <w:style w:type="paragraph" w:styleId="6">
    <w:name w:val="heading 2"/>
    <w:basedOn w:val="1"/>
    <w:next w:val="7"/>
    <w:link w:val="19"/>
    <w:unhideWhenUsed/>
    <w:qFormat/>
    <w:uiPriority w:val="0"/>
    <w:pPr>
      <w:keepNext/>
      <w:keepLines/>
      <w:adjustRightInd w:val="0"/>
      <w:snapToGrid w:val="0"/>
      <w:spacing w:before="100" w:after="100" w:line="360" w:lineRule="auto"/>
      <w:outlineLvl w:val="1"/>
    </w:pPr>
    <w:rPr>
      <w:rFonts w:ascii="Times New Roman" w:hAnsi="Times New Roman" w:eastAsia="仿宋" w:cs="Times New Roman"/>
      <w:b/>
      <w:sz w:val="32"/>
      <w:szCs w:val="32"/>
    </w:rPr>
  </w:style>
  <w:style w:type="paragraph" w:styleId="7">
    <w:name w:val="heading 3"/>
    <w:basedOn w:val="1"/>
    <w:next w:val="1"/>
    <w:unhideWhenUsed/>
    <w:qFormat/>
    <w:uiPriority w:val="0"/>
    <w:pPr>
      <w:keepNext/>
      <w:keepLines/>
      <w:adjustRightInd w:val="0"/>
      <w:snapToGrid w:val="0"/>
      <w:spacing w:before="100" w:after="100" w:line="360" w:lineRule="auto"/>
      <w:ind w:firstLine="560" w:firstLineChars="200"/>
      <w:outlineLvl w:val="2"/>
    </w:pPr>
    <w:rPr>
      <w:rFonts w:ascii="Times New Roman" w:hAnsi="Times New Roman" w:eastAsia="仿宋" w:cs="Times New Roman"/>
      <w:b/>
      <w:sz w:val="30"/>
      <w:szCs w:val="30"/>
    </w:rPr>
  </w:style>
  <w:style w:type="paragraph" w:styleId="8">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4"/>
    <w:qFormat/>
    <w:uiPriority w:val="0"/>
    <w:pPr>
      <w:spacing w:after="120"/>
    </w:pPr>
  </w:style>
  <w:style w:type="paragraph" w:styleId="4">
    <w:name w:val="Body Text 2"/>
    <w:basedOn w:val="1"/>
    <w:qFormat/>
    <w:uiPriority w:val="0"/>
    <w:pPr>
      <w:spacing w:after="120" w:line="480" w:lineRule="auto"/>
    </w:pPr>
  </w:style>
  <w:style w:type="paragraph" w:styleId="9">
    <w:name w:val="annotation text"/>
    <w:basedOn w:val="1"/>
    <w:qFormat/>
    <w:uiPriority w:val="0"/>
    <w:pPr>
      <w:jc w:val="left"/>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spacing w:beforeAutospacing="1" w:afterAutospacing="1"/>
      <w:jc w:val="left"/>
    </w:pPr>
    <w:rPr>
      <w:rFonts w:cs="Times New Roman"/>
      <w:kern w:val="0"/>
      <w:sz w:val="24"/>
    </w:rPr>
  </w:style>
  <w:style w:type="table" w:styleId="16">
    <w:name w:val="Table Grid"/>
    <w:basedOn w:val="1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customStyle="1" w:styleId="19">
    <w:name w:val="标题 2 字符"/>
    <w:link w:val="6"/>
    <w:qFormat/>
    <w:uiPriority w:val="9"/>
    <w:rPr>
      <w:rFonts w:ascii="Times New Roman" w:hAnsi="Times New Roman" w:eastAsia="仿宋" w:cs="Times New Roman"/>
      <w:b/>
      <w:sz w:val="32"/>
      <w:szCs w:val="32"/>
    </w:rPr>
  </w:style>
  <w:style w:type="character" w:customStyle="1" w:styleId="20">
    <w:name w:val="font21"/>
    <w:basedOn w:val="17"/>
    <w:qFormat/>
    <w:uiPriority w:val="0"/>
    <w:rPr>
      <w:rFonts w:hint="eastAsia" w:ascii="黑体" w:hAnsi="宋体" w:eastAsia="黑体" w:cs="黑体"/>
      <w:color w:val="000000"/>
      <w:sz w:val="13"/>
      <w:szCs w:val="13"/>
      <w:u w:val="none"/>
    </w:rPr>
  </w:style>
  <w:style w:type="character" w:customStyle="1" w:styleId="21">
    <w:name w:val="font11"/>
    <w:basedOn w:val="17"/>
    <w:qFormat/>
    <w:uiPriority w:val="0"/>
    <w:rPr>
      <w:rFonts w:hint="default" w:ascii="Times New Roman" w:hAnsi="Times New Roman" w:cs="Times New Roman"/>
      <w:color w:val="000000"/>
      <w:sz w:val="13"/>
      <w:szCs w:val="13"/>
      <w:u w:val="none"/>
    </w:rPr>
  </w:style>
  <w:style w:type="character" w:customStyle="1" w:styleId="22">
    <w:name w:val="font51"/>
    <w:basedOn w:val="17"/>
    <w:qFormat/>
    <w:uiPriority w:val="0"/>
    <w:rPr>
      <w:rFonts w:hint="eastAsia" w:ascii="黑体" w:hAnsi="宋体" w:eastAsia="黑体" w:cs="黑体"/>
      <w:color w:val="000000"/>
      <w:sz w:val="13"/>
      <w:szCs w:val="13"/>
      <w:u w:val="none"/>
      <w:vertAlign w:val="superscript"/>
    </w:rPr>
  </w:style>
  <w:style w:type="character" w:customStyle="1" w:styleId="23">
    <w:name w:val="font41"/>
    <w:basedOn w:val="17"/>
    <w:qFormat/>
    <w:uiPriority w:val="0"/>
    <w:rPr>
      <w:rFonts w:hint="eastAsia" w:ascii="宋体" w:hAnsi="宋体" w:eastAsia="宋体" w:cs="宋体"/>
      <w:color w:val="000000"/>
      <w:sz w:val="22"/>
      <w:szCs w:val="22"/>
      <w:u w:val="none"/>
    </w:rPr>
  </w:style>
  <w:style w:type="paragraph" w:customStyle="1" w:styleId="24">
    <w:name w:val="WPSOffice手动目录 1"/>
    <w:qFormat/>
    <w:uiPriority w:val="0"/>
    <w:rPr>
      <w:rFonts w:ascii="Times New Roman" w:hAnsi="Times New Roman" w:eastAsia="宋体" w:cs="Times New Roman"/>
      <w:lang w:val="en-US" w:eastAsia="zh-CN" w:bidi="ar-SA"/>
    </w:rPr>
  </w:style>
  <w:style w:type="paragraph" w:customStyle="1" w:styleId="2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6">
    <w:name w:val="表头"/>
    <w:basedOn w:val="1"/>
    <w:next w:val="1"/>
    <w:qFormat/>
    <w:uiPriority w:val="0"/>
    <w:pPr>
      <w:adjustRightInd w:val="0"/>
      <w:snapToGrid w:val="0"/>
      <w:spacing w:before="100" w:after="100" w:line="360" w:lineRule="auto"/>
      <w:jc w:val="center"/>
    </w:pPr>
    <w:rPr>
      <w:rFonts w:ascii="Times New Roman" w:hAnsi="Times New Roman" w:eastAsia="仿宋" w:cs="Times New Roman"/>
      <w:b/>
      <w:sz w:val="28"/>
      <w:szCs w:val="28"/>
    </w:rPr>
  </w:style>
  <w:style w:type="character" w:customStyle="1" w:styleId="27">
    <w:name w:val="font71"/>
    <w:basedOn w:val="17"/>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859</Words>
  <Characters>4899</Characters>
  <Lines>40</Lines>
  <Paragraphs>11</Paragraphs>
  <TotalTime>4</TotalTime>
  <ScaleCrop>false</ScaleCrop>
  <LinksUpToDate>false</LinksUpToDate>
  <CharactersWithSpaces>5747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2021-05-19T12:19:00Z</dcterms:created>
  <dc:creator>Administrator</dc:creator>
  <cp:lastModifiedBy>Administrator</cp:lastModifiedBy>
  <dcterms:modified xsi:type="dcterms:W3CDTF">2022-05-10T01:29:26Z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0331CE7D05EF433F8EC35DE32229AE9B</vt:lpwstr>
  </property>
</Properties>
</file>