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line="560" w:lineRule="exact"/>
        <w:jc w:val="center"/>
        <w:rPr>
          <w:rFonts w:ascii="华文中宋" w:hAnsi="华文中宋" w:eastAsia="华文中宋" w:cs="方正小标宋简体"/>
          <w:b/>
          <w:sz w:val="48"/>
          <w:szCs w:val="48"/>
        </w:rPr>
      </w:pPr>
      <w:r>
        <w:rPr>
          <w:rFonts w:hint="eastAsia" w:ascii="华文中宋" w:hAnsi="华文中宋" w:eastAsia="华文中宋" w:cs="方正小标宋简体"/>
          <w:b/>
          <w:sz w:val="48"/>
          <w:szCs w:val="48"/>
        </w:rPr>
        <w:t>三门峡市市场监督管理局</w:t>
      </w:r>
    </w:p>
    <w:p>
      <w:pPr>
        <w:spacing w:before="312" w:beforeLines="100" w:after="312" w:afterLines="100" w:line="360" w:lineRule="auto"/>
        <w:jc w:val="center"/>
        <w:rPr>
          <w:rFonts w:ascii="华文中宋" w:hAnsi="华文中宋" w:eastAsia="华文中宋" w:cs="方正小标宋简体"/>
          <w:b/>
          <w:sz w:val="48"/>
          <w:szCs w:val="48"/>
        </w:rPr>
      </w:pPr>
      <w:r>
        <w:rPr>
          <w:rFonts w:hint="eastAsia" w:ascii="华文中宋" w:hAnsi="华文中宋" w:eastAsia="华文中宋" w:cs="方正小标宋简体"/>
          <w:b/>
          <w:sz w:val="48"/>
          <w:szCs w:val="48"/>
        </w:rPr>
        <w:t>202</w:t>
      </w:r>
      <w:r>
        <w:rPr>
          <w:rFonts w:hint="eastAsia" w:ascii="华文中宋" w:hAnsi="华文中宋" w:eastAsia="华文中宋" w:cs="方正小标宋简体"/>
          <w:b/>
          <w:sz w:val="48"/>
          <w:szCs w:val="48"/>
          <w:lang w:val="en-US" w:eastAsia="zh-CN"/>
        </w:rPr>
        <w:t>1</w:t>
      </w:r>
      <w:r>
        <w:rPr>
          <w:rFonts w:hint="eastAsia" w:ascii="华文中宋" w:hAnsi="华文中宋" w:eastAsia="华文中宋" w:cs="方正小标宋简体"/>
          <w:b/>
          <w:sz w:val="48"/>
          <w:szCs w:val="48"/>
        </w:rPr>
        <w:t>年度项目支出自评报告</w:t>
      </w: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1606" w:firstLineChars="500"/>
        <w:rPr>
          <w:rFonts w:ascii="宋体" w:hAnsi="宋体" w:eastAsia="宋体" w:cs="宋体"/>
          <w:b/>
          <w:sz w:val="32"/>
          <w:szCs w:val="32"/>
        </w:rPr>
      </w:pPr>
    </w:p>
    <w:p>
      <w:pPr>
        <w:spacing w:before="100" w:after="100" w:line="360" w:lineRule="auto"/>
        <w:ind w:firstLine="1606" w:firstLineChars="500"/>
        <w:rPr>
          <w:rFonts w:ascii="宋体" w:hAnsi="宋体" w:eastAsia="宋体" w:cs="宋体"/>
          <w:b/>
          <w:sz w:val="32"/>
          <w:szCs w:val="32"/>
        </w:rPr>
      </w:pPr>
    </w:p>
    <w:p>
      <w:pPr>
        <w:spacing w:before="100" w:after="100" w:line="360" w:lineRule="auto"/>
        <w:ind w:firstLine="1606" w:firstLineChars="500"/>
        <w:rPr>
          <w:rFonts w:ascii="宋体" w:hAnsi="宋体" w:eastAsia="宋体" w:cs="宋体"/>
          <w:b/>
          <w:sz w:val="32"/>
          <w:szCs w:val="32"/>
        </w:rPr>
      </w:pPr>
      <w:r>
        <w:rPr>
          <w:rFonts w:hint="eastAsia" w:ascii="宋体" w:hAnsi="宋体" w:eastAsia="宋体" w:cs="宋体"/>
          <w:b/>
          <w:sz w:val="32"/>
          <w:szCs w:val="32"/>
        </w:rPr>
        <w:t>自评单位：三门峡市市场监督管理局</w:t>
      </w:r>
    </w:p>
    <w:p>
      <w:pPr>
        <w:spacing w:line="360" w:lineRule="auto"/>
        <w:ind w:firstLine="1606" w:firstLineChars="500"/>
        <w:rPr>
          <w:rFonts w:ascii="宋体" w:hAnsi="宋体" w:eastAsia="宋体" w:cs="宋体"/>
          <w:b/>
          <w:sz w:val="32"/>
          <w:szCs w:val="32"/>
        </w:rPr>
      </w:pPr>
      <w:r>
        <w:rPr>
          <w:rFonts w:hint="eastAsia" w:ascii="宋体" w:hAnsi="宋体" w:eastAsia="宋体" w:cs="宋体"/>
          <w:b/>
          <w:sz w:val="32"/>
          <w:szCs w:val="32"/>
        </w:rPr>
        <w:t>日    期：202</w:t>
      </w:r>
      <w:r>
        <w:rPr>
          <w:rFonts w:hint="eastAsia" w:ascii="宋体" w:hAnsi="宋体" w:eastAsia="宋体" w:cs="宋体"/>
          <w:b/>
          <w:sz w:val="32"/>
          <w:szCs w:val="32"/>
          <w:lang w:val="en-US" w:eastAsia="zh-CN"/>
        </w:rPr>
        <w:t>2</w:t>
      </w:r>
      <w:r>
        <w:rPr>
          <w:rFonts w:hint="eastAsia" w:ascii="宋体" w:hAnsi="宋体" w:eastAsia="宋体" w:cs="宋体"/>
          <w:b/>
          <w:sz w:val="32"/>
          <w:szCs w:val="32"/>
        </w:rPr>
        <w:t>年</w:t>
      </w:r>
      <w:r>
        <w:rPr>
          <w:rFonts w:hint="eastAsia" w:ascii="宋体" w:hAnsi="宋体" w:eastAsia="宋体" w:cs="宋体"/>
          <w:b/>
          <w:sz w:val="32"/>
          <w:szCs w:val="32"/>
          <w:lang w:val="en-US" w:eastAsia="zh-CN"/>
        </w:rPr>
        <w:t>4</w:t>
      </w:r>
      <w:r>
        <w:rPr>
          <w:rFonts w:hint="eastAsia" w:ascii="宋体" w:hAnsi="宋体" w:eastAsia="宋体" w:cs="宋体"/>
          <w:b/>
          <w:sz w:val="32"/>
          <w:szCs w:val="32"/>
        </w:rPr>
        <w:t>月</w:t>
      </w:r>
    </w:p>
    <w:p>
      <w:pPr>
        <w:jc w:val="center"/>
        <w:rPr>
          <w:rFonts w:ascii="宋体" w:hAnsi="宋体" w:eastAsia="宋体"/>
          <w:b/>
          <w:bCs/>
          <w:sz w:val="28"/>
          <w:szCs w:val="36"/>
        </w:rPr>
        <w:sectPr>
          <w:pgSz w:w="11850" w:h="16783"/>
          <w:pgMar w:top="1440" w:right="1800" w:bottom="1440" w:left="1800" w:header="851" w:footer="992" w:gutter="0"/>
          <w:pgNumType w:fmt="upperRoman"/>
          <w:cols w:space="425" w:num="1"/>
          <w:docGrid w:type="lines" w:linePitch="312" w:charSpace="0"/>
        </w:sectPr>
      </w:pPr>
    </w:p>
    <w:sdt>
      <w:sdtPr>
        <w:rPr>
          <w:rFonts w:hint="eastAsia" w:ascii="黑体" w:hAnsi="黑体" w:eastAsia="黑体" w:cs="黑体"/>
          <w:b/>
          <w:bCs/>
          <w:sz w:val="40"/>
          <w:szCs w:val="40"/>
        </w:rPr>
        <w:id w:val="147454492"/>
        <w15:color w:val="DBDBDB"/>
        <w:docPartObj>
          <w:docPartGallery w:val="Table of Contents"/>
          <w:docPartUnique/>
        </w:docPartObj>
      </w:sdtPr>
      <w:sdtEndPr>
        <w:rPr>
          <w:rFonts w:hint="eastAsia" w:ascii="黑体" w:hAnsi="黑体" w:eastAsia="黑体" w:cs="黑体"/>
          <w:b/>
          <w:bCs w:val="0"/>
          <w:sz w:val="32"/>
          <w:szCs w:val="32"/>
        </w:rPr>
      </w:sdtEndPr>
      <w:sdtContent>
        <w:p>
          <w:pPr>
            <w:jc w:val="center"/>
            <w:rPr>
              <w:rFonts w:ascii="黑体" w:hAnsi="黑体" w:eastAsia="黑体" w:cs="黑体"/>
              <w:b/>
              <w:bCs/>
              <w:sz w:val="40"/>
              <w:szCs w:val="40"/>
            </w:rPr>
          </w:pPr>
          <w:bookmarkStart w:id="0" w:name="_Toc6149"/>
          <w:r>
            <w:rPr>
              <w:rFonts w:hint="eastAsia" w:ascii="宋体" w:hAnsi="宋体" w:eastAsia="宋体" w:cs="宋体"/>
              <w:b/>
              <w:bCs/>
              <w:sz w:val="40"/>
              <w:szCs w:val="40"/>
            </w:rPr>
            <w:t>目录</w:t>
          </w:r>
        </w:p>
        <w:p>
          <w:pPr>
            <w:pStyle w:val="11"/>
            <w:tabs>
              <w:tab w:val="right" w:leader="dot" w:pos="8306"/>
            </w:tabs>
            <w:rPr>
              <w:rFonts w:ascii="黑体" w:hAnsi="黑体" w:eastAsia="黑体" w:cs="黑体"/>
              <w:sz w:val="28"/>
              <w:szCs w:val="28"/>
            </w:rPr>
          </w:pPr>
          <w:r>
            <w:rPr>
              <w:rFonts w:hint="eastAsia" w:ascii="黑体" w:hAnsi="黑体" w:eastAsia="黑体" w:cs="黑体"/>
              <w:b/>
              <w:sz w:val="28"/>
              <w:szCs w:val="28"/>
            </w:rPr>
            <w:fldChar w:fldCharType="begin"/>
          </w:r>
          <w:r>
            <w:rPr>
              <w:rFonts w:hint="eastAsia" w:ascii="黑体" w:hAnsi="黑体" w:eastAsia="黑体" w:cs="黑体"/>
              <w:b/>
              <w:sz w:val="28"/>
              <w:szCs w:val="28"/>
            </w:rPr>
            <w:instrText xml:space="preserve">TOC \o "1-2" \h \u </w:instrText>
          </w:r>
          <w:r>
            <w:rPr>
              <w:rFonts w:hint="eastAsia" w:ascii="黑体" w:hAnsi="黑体" w:eastAsia="黑体" w:cs="黑体"/>
              <w:b/>
              <w:sz w:val="28"/>
              <w:szCs w:val="28"/>
            </w:rPr>
            <w:fldChar w:fldCharType="separate"/>
          </w:r>
        </w:p>
        <w:p>
          <w:pPr>
            <w:pStyle w:val="11"/>
            <w:tabs>
              <w:tab w:val="right" w:leader="dot" w:pos="8306"/>
            </w:tabs>
            <w:rPr>
              <w:rFonts w:ascii="黑体" w:hAnsi="黑体" w:eastAsia="黑体" w:cs="黑体"/>
              <w:sz w:val="28"/>
              <w:szCs w:val="28"/>
            </w:rPr>
          </w:pPr>
          <w:r>
            <w:fldChar w:fldCharType="begin"/>
          </w:r>
          <w:r>
            <w:instrText xml:space="preserve"> HYPERLINK \l "_Toc21579" </w:instrText>
          </w:r>
          <w:r>
            <w:fldChar w:fldCharType="separate"/>
          </w:r>
          <w:r>
            <w:rPr>
              <w:rFonts w:hint="eastAsia" w:ascii="黑体" w:hAnsi="黑体" w:eastAsia="黑体" w:cs="黑体"/>
              <w:sz w:val="28"/>
              <w:szCs w:val="28"/>
            </w:rPr>
            <w:t>一、项目支出基本情况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_Toc21579 \h </w:instrText>
          </w:r>
          <w:r>
            <w:rPr>
              <w:rFonts w:hint="eastAsia" w:ascii="黑体" w:hAnsi="黑体" w:eastAsia="黑体" w:cs="黑体"/>
              <w:sz w:val="28"/>
              <w:szCs w:val="28"/>
            </w:rPr>
            <w:fldChar w:fldCharType="separate"/>
          </w:r>
          <w:r>
            <w:rPr>
              <w:rFonts w:hint="eastAsia" w:ascii="黑体" w:hAnsi="黑体" w:eastAsia="黑体" w:cs="黑体"/>
              <w:sz w:val="28"/>
              <w:szCs w:val="28"/>
            </w:rPr>
            <w:t>- 1 -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"_Toc30125" </w:instrText>
          </w:r>
          <w:r>
            <w:fldChar w:fldCharType="separate"/>
          </w:r>
          <w:r>
            <w:rPr>
              <w:rFonts w:hint="eastAsia" w:ascii="黑体" w:hAnsi="黑体" w:eastAsia="黑体" w:cs="黑体"/>
              <w:sz w:val="28"/>
              <w:szCs w:val="28"/>
            </w:rPr>
            <w:t>（一）项目支出预算和执行情况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_Toc30125 \h </w:instrText>
          </w:r>
          <w:r>
            <w:rPr>
              <w:rFonts w:hint="eastAsia" w:ascii="黑体" w:hAnsi="黑体" w:eastAsia="黑体" w:cs="黑体"/>
              <w:sz w:val="28"/>
              <w:szCs w:val="28"/>
            </w:rPr>
            <w:fldChar w:fldCharType="separate"/>
          </w:r>
          <w:r>
            <w:rPr>
              <w:rFonts w:hint="eastAsia" w:ascii="黑体" w:hAnsi="黑体" w:eastAsia="黑体" w:cs="黑体"/>
              <w:sz w:val="28"/>
              <w:szCs w:val="28"/>
            </w:rPr>
            <w:t>- 1 -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"_Toc23046" </w:instrText>
          </w:r>
          <w:r>
            <w:fldChar w:fldCharType="separate"/>
          </w:r>
          <w:r>
            <w:rPr>
              <w:rFonts w:hint="eastAsia" w:ascii="黑体" w:hAnsi="黑体" w:eastAsia="黑体" w:cs="黑体"/>
              <w:sz w:val="28"/>
              <w:szCs w:val="28"/>
            </w:rPr>
            <w:t>（二）项目内容</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_Toc23046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"_Toc12012" </w:instrText>
          </w:r>
          <w:r>
            <w:fldChar w:fldCharType="separate"/>
          </w:r>
          <w:r>
            <w:rPr>
              <w:rFonts w:hint="eastAsia" w:ascii="黑体" w:hAnsi="黑体" w:eastAsia="黑体" w:cs="黑体"/>
              <w:sz w:val="28"/>
              <w:szCs w:val="28"/>
            </w:rPr>
            <w:t>（三）绩效目标批复情况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_Toc12012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1"/>
            <w:tabs>
              <w:tab w:val="right" w:leader="dot" w:pos="8306"/>
            </w:tabs>
            <w:rPr>
              <w:rFonts w:ascii="黑体" w:hAnsi="黑体" w:eastAsia="黑体" w:cs="黑体"/>
              <w:sz w:val="28"/>
              <w:szCs w:val="28"/>
            </w:rPr>
          </w:pPr>
          <w:r>
            <w:fldChar w:fldCharType="begin"/>
          </w:r>
          <w:r>
            <w:instrText xml:space="preserve"> HYPERLINK \l "_Toc22554" </w:instrText>
          </w:r>
          <w:r>
            <w:fldChar w:fldCharType="separate"/>
          </w:r>
          <w:r>
            <w:rPr>
              <w:rFonts w:hint="eastAsia" w:ascii="黑体" w:hAnsi="黑体" w:eastAsia="黑体" w:cs="黑体"/>
              <w:sz w:val="28"/>
              <w:szCs w:val="28"/>
            </w:rPr>
            <w:t>二、单位自评工作开展情况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_Toc22554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"_Toc7132" </w:instrText>
          </w:r>
          <w:r>
            <w:fldChar w:fldCharType="separate"/>
          </w:r>
          <w:r>
            <w:rPr>
              <w:rFonts w:hint="eastAsia" w:ascii="黑体" w:hAnsi="黑体" w:eastAsia="黑体" w:cs="黑体"/>
              <w:sz w:val="28"/>
              <w:szCs w:val="28"/>
            </w:rPr>
            <w:t>（一）绩效自评目的和意义</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_Toc7132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"_Toc11744" </w:instrText>
          </w:r>
          <w:r>
            <w:fldChar w:fldCharType="separate"/>
          </w:r>
          <w:r>
            <w:rPr>
              <w:rFonts w:hint="eastAsia" w:ascii="黑体" w:hAnsi="黑体" w:eastAsia="黑体" w:cs="黑体"/>
              <w:sz w:val="28"/>
              <w:szCs w:val="28"/>
            </w:rPr>
            <w:t>（二）绩效自评对象和范围</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_Toc11744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"_Toc20074" </w:instrText>
          </w:r>
          <w:r>
            <w:fldChar w:fldCharType="separate"/>
          </w:r>
          <w:r>
            <w:rPr>
              <w:rFonts w:hint="eastAsia" w:ascii="黑体" w:hAnsi="黑体" w:eastAsia="黑体" w:cs="黑体"/>
              <w:sz w:val="28"/>
              <w:szCs w:val="28"/>
            </w:rPr>
            <w:t>（三）绩效评价的依据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_Toc20074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"_Toc23997" </w:instrText>
          </w:r>
          <w:r>
            <w:fldChar w:fldCharType="separate"/>
          </w:r>
          <w:r>
            <w:rPr>
              <w:rFonts w:hint="eastAsia" w:ascii="黑体" w:hAnsi="黑体" w:eastAsia="黑体" w:cs="黑体"/>
              <w:sz w:val="28"/>
              <w:szCs w:val="28"/>
            </w:rPr>
            <w:t>（四）评分方法</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_Toc23997 \h </w:instrText>
          </w:r>
          <w:r>
            <w:rPr>
              <w:rFonts w:hint="eastAsia" w:ascii="黑体" w:hAnsi="黑体" w:eastAsia="黑体" w:cs="黑体"/>
              <w:sz w:val="28"/>
              <w:szCs w:val="28"/>
            </w:rPr>
            <w:fldChar w:fldCharType="separate"/>
          </w:r>
          <w:r>
            <w:rPr>
              <w:rFonts w:hint="eastAsia" w:ascii="黑体" w:hAnsi="黑体" w:eastAsia="黑体" w:cs="黑体"/>
              <w:sz w:val="28"/>
              <w:szCs w:val="28"/>
            </w:rPr>
            <w:t>- 4 -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"_Toc16101" </w:instrText>
          </w:r>
          <w:r>
            <w:fldChar w:fldCharType="separate"/>
          </w:r>
          <w:r>
            <w:rPr>
              <w:rFonts w:hint="eastAsia" w:ascii="黑体" w:hAnsi="黑体" w:eastAsia="黑体" w:cs="黑体"/>
              <w:sz w:val="28"/>
              <w:szCs w:val="28"/>
            </w:rPr>
            <w:t>（五）绩效自评工作组织</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_Toc16101 \h </w:instrText>
          </w:r>
          <w:r>
            <w:rPr>
              <w:rFonts w:hint="eastAsia" w:ascii="黑体" w:hAnsi="黑体" w:eastAsia="黑体" w:cs="黑体"/>
              <w:sz w:val="28"/>
              <w:szCs w:val="28"/>
            </w:rPr>
            <w:fldChar w:fldCharType="separate"/>
          </w:r>
          <w:r>
            <w:rPr>
              <w:rFonts w:hint="eastAsia" w:ascii="黑体" w:hAnsi="黑体" w:eastAsia="黑体" w:cs="黑体"/>
              <w:sz w:val="28"/>
              <w:szCs w:val="28"/>
            </w:rPr>
            <w:t>- 5 -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1"/>
            <w:tabs>
              <w:tab w:val="right" w:leader="dot" w:pos="8306"/>
            </w:tabs>
            <w:rPr>
              <w:rFonts w:ascii="黑体" w:hAnsi="黑体" w:eastAsia="黑体" w:cs="黑体"/>
              <w:sz w:val="28"/>
              <w:szCs w:val="28"/>
            </w:rPr>
          </w:pPr>
          <w:r>
            <w:fldChar w:fldCharType="begin"/>
          </w:r>
          <w:r>
            <w:instrText xml:space="preserve"> HYPERLINK \l "_Toc2106" </w:instrText>
          </w:r>
          <w:r>
            <w:fldChar w:fldCharType="separate"/>
          </w:r>
          <w:r>
            <w:rPr>
              <w:rFonts w:hint="eastAsia" w:ascii="黑体" w:hAnsi="黑体" w:eastAsia="黑体" w:cs="黑体"/>
              <w:sz w:val="28"/>
              <w:szCs w:val="28"/>
            </w:rPr>
            <w:t>三、</w:t>
          </w:r>
          <w:r>
            <w:rPr>
              <w:rFonts w:hint="eastAsia" w:ascii="黑体" w:hAnsi="黑体" w:eastAsia="黑体" w:cs="黑体"/>
              <w:sz w:val="28"/>
              <w:szCs w:val="28"/>
              <w:lang w:val="zh-CN"/>
            </w:rPr>
            <w:t>单位自评结果</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_Toc2106 \h </w:instrText>
          </w:r>
          <w:r>
            <w:rPr>
              <w:rFonts w:hint="eastAsia" w:ascii="黑体" w:hAnsi="黑体" w:eastAsia="黑体" w:cs="黑体"/>
              <w:sz w:val="28"/>
              <w:szCs w:val="28"/>
            </w:rPr>
            <w:fldChar w:fldCharType="separate"/>
          </w:r>
          <w:r>
            <w:rPr>
              <w:rFonts w:hint="eastAsia" w:ascii="黑体" w:hAnsi="黑体" w:eastAsia="黑体" w:cs="黑体"/>
              <w:sz w:val="28"/>
              <w:szCs w:val="28"/>
            </w:rPr>
            <w:t>- 5 -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2"/>
            <w:tabs>
              <w:tab w:val="right" w:leader="dot" w:pos="8306"/>
            </w:tabs>
            <w:rPr>
              <w:rFonts w:ascii="黑体" w:hAnsi="黑体" w:eastAsia="黑体" w:cs="黑体"/>
              <w:sz w:val="28"/>
              <w:szCs w:val="28"/>
            </w:rPr>
          </w:pPr>
          <w:r>
            <w:fldChar w:fldCharType="begin"/>
          </w:r>
          <w:r>
            <w:instrText xml:space="preserve"> HYPERLINK \l "_Toc22338" </w:instrText>
          </w:r>
          <w:r>
            <w:fldChar w:fldCharType="separate"/>
          </w:r>
          <w:r>
            <w:rPr>
              <w:rFonts w:hint="eastAsia" w:ascii="黑体" w:hAnsi="黑体" w:eastAsia="黑体" w:cs="黑体"/>
              <w:sz w:val="28"/>
              <w:szCs w:val="28"/>
              <w:lang w:val="zh-CN"/>
            </w:rPr>
            <w:t>（一）自评结果</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_Toc22338 \h </w:instrText>
          </w:r>
          <w:r>
            <w:rPr>
              <w:rFonts w:hint="eastAsia" w:ascii="黑体" w:hAnsi="黑体" w:eastAsia="黑体" w:cs="黑体"/>
              <w:sz w:val="28"/>
              <w:szCs w:val="28"/>
            </w:rPr>
            <w:fldChar w:fldCharType="separate"/>
          </w:r>
          <w:r>
            <w:rPr>
              <w:rFonts w:hint="eastAsia" w:ascii="黑体" w:hAnsi="黑体" w:eastAsia="黑体" w:cs="黑体"/>
              <w:sz w:val="28"/>
              <w:szCs w:val="28"/>
            </w:rPr>
            <w:t xml:space="preserve">- </w:t>
          </w:r>
          <w:r>
            <w:rPr>
              <w:rFonts w:hint="eastAsia" w:ascii="黑体" w:hAnsi="黑体" w:eastAsia="黑体" w:cs="黑体"/>
              <w:sz w:val="28"/>
              <w:szCs w:val="28"/>
              <w:lang w:val="en-US" w:eastAsia="zh-CN"/>
            </w:rPr>
            <w:t>6</w:t>
          </w:r>
          <w:r>
            <w:rPr>
              <w:rFonts w:hint="eastAsia" w:ascii="黑体" w:hAnsi="黑体" w:eastAsia="黑体" w:cs="黑体"/>
              <w:sz w:val="28"/>
              <w:szCs w:val="28"/>
            </w:rPr>
            <w:t xml:space="preserve">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1"/>
            <w:tabs>
              <w:tab w:val="right" w:leader="dot" w:pos="8306"/>
            </w:tabs>
            <w:rPr>
              <w:rFonts w:ascii="黑体" w:hAnsi="黑体" w:eastAsia="黑体" w:cs="黑体"/>
              <w:sz w:val="28"/>
              <w:szCs w:val="28"/>
            </w:rPr>
          </w:pPr>
          <w:r>
            <w:fldChar w:fldCharType="begin"/>
          </w:r>
          <w:r>
            <w:instrText xml:space="preserve"> HYPERLINK \l "_Toc6497" </w:instrText>
          </w:r>
          <w:r>
            <w:fldChar w:fldCharType="separate"/>
          </w:r>
          <w:r>
            <w:rPr>
              <w:rFonts w:hint="eastAsia" w:ascii="黑体" w:hAnsi="黑体" w:eastAsia="黑体" w:cs="黑体"/>
              <w:sz w:val="28"/>
              <w:szCs w:val="28"/>
              <w:lang w:val="zh-CN"/>
            </w:rPr>
            <w:t>四、 自评发现的问题及整改措施</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_Toc6497 \h </w:instrText>
          </w:r>
          <w:r>
            <w:rPr>
              <w:rFonts w:hint="eastAsia" w:ascii="黑体" w:hAnsi="黑体" w:eastAsia="黑体" w:cs="黑体"/>
              <w:sz w:val="28"/>
              <w:szCs w:val="28"/>
            </w:rPr>
            <w:fldChar w:fldCharType="separate"/>
          </w:r>
          <w:r>
            <w:rPr>
              <w:rFonts w:hint="eastAsia" w:ascii="黑体" w:hAnsi="黑体" w:eastAsia="黑体" w:cs="黑体"/>
              <w:sz w:val="28"/>
              <w:szCs w:val="28"/>
            </w:rPr>
            <w:t>- 7 -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1"/>
            <w:tabs>
              <w:tab w:val="right" w:leader="dot" w:pos="8306"/>
            </w:tabs>
            <w:rPr>
              <w:rFonts w:ascii="黑体" w:hAnsi="黑体" w:eastAsia="黑体" w:cs="黑体"/>
              <w:sz w:val="28"/>
              <w:szCs w:val="28"/>
            </w:rPr>
          </w:pPr>
          <w:r>
            <w:fldChar w:fldCharType="begin"/>
          </w:r>
          <w:r>
            <w:instrText xml:space="preserve"> HYPERLINK \l "_Toc16509" </w:instrText>
          </w:r>
          <w:r>
            <w:fldChar w:fldCharType="separate"/>
          </w:r>
          <w:r>
            <w:rPr>
              <w:rFonts w:hint="eastAsia" w:ascii="黑体" w:hAnsi="黑体" w:eastAsia="黑体" w:cs="黑体"/>
              <w:sz w:val="28"/>
              <w:szCs w:val="28"/>
              <w:lang w:val="zh-CN"/>
            </w:rPr>
            <w:t>五、 绩效自评工作建议及预算安排建议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_Toc16509 \h </w:instrText>
          </w:r>
          <w:r>
            <w:rPr>
              <w:rFonts w:hint="eastAsia" w:ascii="黑体" w:hAnsi="黑体" w:eastAsia="黑体" w:cs="黑体"/>
              <w:sz w:val="28"/>
              <w:szCs w:val="28"/>
            </w:rPr>
            <w:fldChar w:fldCharType="separate"/>
          </w:r>
          <w:r>
            <w:rPr>
              <w:rFonts w:hint="eastAsia" w:ascii="黑体" w:hAnsi="黑体" w:eastAsia="黑体" w:cs="黑体"/>
              <w:sz w:val="28"/>
              <w:szCs w:val="28"/>
            </w:rPr>
            <w:t xml:space="preserve">- </w:t>
          </w:r>
          <w:r>
            <w:rPr>
              <w:rFonts w:hint="eastAsia" w:ascii="黑体" w:hAnsi="黑体" w:eastAsia="黑体" w:cs="黑体"/>
              <w:sz w:val="28"/>
              <w:szCs w:val="28"/>
              <w:lang w:val="en-US" w:eastAsia="zh-CN"/>
            </w:rPr>
            <w:t>8</w:t>
          </w:r>
          <w:r>
            <w:rPr>
              <w:rFonts w:hint="eastAsia" w:ascii="黑体" w:hAnsi="黑体" w:eastAsia="黑体" w:cs="黑体"/>
              <w:sz w:val="28"/>
              <w:szCs w:val="28"/>
            </w:rPr>
            <w:t xml:space="preserve">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1"/>
            <w:tabs>
              <w:tab w:val="right" w:leader="dot" w:pos="8306"/>
            </w:tabs>
            <w:rPr>
              <w:rFonts w:ascii="黑体" w:hAnsi="黑体" w:eastAsia="黑体" w:cs="黑体"/>
              <w:sz w:val="28"/>
              <w:szCs w:val="28"/>
            </w:rPr>
          </w:pPr>
          <w:r>
            <w:fldChar w:fldCharType="begin"/>
          </w:r>
          <w:r>
            <w:instrText xml:space="preserve"> HYPERLINK \l "_Toc7334" </w:instrText>
          </w:r>
          <w:r>
            <w:fldChar w:fldCharType="separate"/>
          </w:r>
          <w:r>
            <w:rPr>
              <w:rFonts w:hint="eastAsia" w:ascii="黑体" w:hAnsi="黑体" w:eastAsia="黑体" w:cs="黑体"/>
              <w:sz w:val="28"/>
              <w:szCs w:val="28"/>
              <w:lang w:val="zh-CN"/>
            </w:rPr>
            <w:t>六、 其他需要说明的问题</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_Toc7334 \h </w:instrText>
          </w:r>
          <w:r>
            <w:rPr>
              <w:rFonts w:hint="eastAsia" w:ascii="黑体" w:hAnsi="黑体" w:eastAsia="黑体" w:cs="黑体"/>
              <w:sz w:val="28"/>
              <w:szCs w:val="28"/>
            </w:rPr>
            <w:fldChar w:fldCharType="separate"/>
          </w:r>
          <w:r>
            <w:rPr>
              <w:rFonts w:hint="eastAsia" w:ascii="黑体" w:hAnsi="黑体" w:eastAsia="黑体" w:cs="黑体"/>
              <w:sz w:val="28"/>
              <w:szCs w:val="28"/>
            </w:rPr>
            <w:t xml:space="preserve">- </w:t>
          </w:r>
          <w:r>
            <w:rPr>
              <w:rFonts w:hint="eastAsia" w:ascii="黑体" w:hAnsi="黑体" w:eastAsia="黑体" w:cs="黑体"/>
              <w:sz w:val="28"/>
              <w:szCs w:val="28"/>
              <w:lang w:val="en-US" w:eastAsia="zh-CN"/>
            </w:rPr>
            <w:t>8</w:t>
          </w:r>
          <w:r>
            <w:rPr>
              <w:rFonts w:hint="eastAsia" w:ascii="黑体" w:hAnsi="黑体" w:eastAsia="黑体" w:cs="黑体"/>
              <w:sz w:val="28"/>
              <w:szCs w:val="28"/>
            </w:rPr>
            <w:t xml:space="preserve">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spacing w:line="360" w:lineRule="auto"/>
            <w:jc w:val="center"/>
            <w:rPr>
              <w:rFonts w:ascii="华文中宋" w:hAnsi="华文中宋" w:eastAsia="华文中宋" w:cs="方正小标宋简体"/>
              <w:b/>
              <w:szCs w:val="44"/>
            </w:rPr>
          </w:pPr>
          <w:r>
            <w:rPr>
              <w:rFonts w:hint="eastAsia" w:ascii="黑体" w:hAnsi="黑体" w:eastAsia="黑体" w:cs="黑体"/>
              <w:sz w:val="28"/>
              <w:szCs w:val="28"/>
            </w:rPr>
            <w:fldChar w:fldCharType="end"/>
          </w:r>
        </w:p>
      </w:sdtContent>
    </w:sdt>
    <w:p>
      <w:pPr>
        <w:widowControl/>
        <w:tabs>
          <w:tab w:val="left" w:pos="6997"/>
        </w:tabs>
        <w:jc w:val="left"/>
        <w:sectPr>
          <w:footerReference r:id="rId3" w:type="default"/>
          <w:pgSz w:w="11906" w:h="16838"/>
          <w:pgMar w:top="1440" w:right="1800" w:bottom="1440" w:left="1800" w:header="851" w:footer="992" w:gutter="0"/>
          <w:pgNumType w:fmt="upperRoman" w:start="1"/>
          <w:cols w:space="425" w:num="1"/>
          <w:docGrid w:type="lines" w:linePitch="312" w:charSpace="0"/>
        </w:sectPr>
      </w:pPr>
      <w:r>
        <w:rPr>
          <w:rFonts w:hint="eastAsia"/>
        </w:rPr>
        <w:tab/>
      </w:r>
    </w:p>
    <w:bookmarkEnd w:id="0"/>
    <w:p>
      <w:pPr>
        <w:spacing w:line="360" w:lineRule="auto"/>
        <w:jc w:val="center"/>
        <w:outlineLvl w:val="0"/>
        <w:rPr>
          <w:rFonts w:ascii="华文中宋" w:hAnsi="华文中宋" w:eastAsia="华文中宋" w:cs="方正小标宋简体"/>
          <w:b/>
          <w:sz w:val="44"/>
          <w:szCs w:val="44"/>
        </w:rPr>
      </w:pPr>
      <w:bookmarkStart w:id="1" w:name="_Toc4141"/>
      <w:r>
        <w:rPr>
          <w:rFonts w:hint="eastAsia" w:ascii="华文中宋" w:hAnsi="华文中宋" w:eastAsia="华文中宋" w:cs="方正小标宋简体"/>
          <w:b/>
          <w:sz w:val="44"/>
          <w:szCs w:val="44"/>
        </w:rPr>
        <w:t>三门峡市市场监督管理局</w:t>
      </w:r>
      <w:bookmarkEnd w:id="1"/>
    </w:p>
    <w:p>
      <w:pPr>
        <w:spacing w:line="360" w:lineRule="auto"/>
        <w:jc w:val="center"/>
        <w:outlineLvl w:val="0"/>
        <w:rPr>
          <w:rFonts w:ascii="华文中宋" w:hAnsi="华文中宋" w:eastAsia="华文中宋" w:cs="方正小标宋简体"/>
          <w:b/>
          <w:sz w:val="44"/>
          <w:szCs w:val="44"/>
        </w:rPr>
      </w:pPr>
      <w:bookmarkStart w:id="2" w:name="_Toc31605"/>
      <w:bookmarkStart w:id="3" w:name="_Toc23711"/>
      <w:bookmarkStart w:id="4" w:name="_Toc24313"/>
      <w:bookmarkStart w:id="5" w:name="_Toc14085"/>
      <w:bookmarkStart w:id="6" w:name="_Toc27784"/>
      <w:bookmarkStart w:id="7" w:name="_Toc851"/>
      <w:bookmarkStart w:id="8" w:name="_Toc15802"/>
      <w:r>
        <w:rPr>
          <w:rFonts w:hint="eastAsia" w:ascii="华文中宋" w:hAnsi="华文中宋" w:eastAsia="华文中宋" w:cs="方正小标宋简体"/>
          <w:b/>
          <w:sz w:val="44"/>
          <w:szCs w:val="44"/>
        </w:rPr>
        <w:t>202</w:t>
      </w:r>
      <w:r>
        <w:rPr>
          <w:rFonts w:hint="eastAsia" w:ascii="华文中宋" w:hAnsi="华文中宋" w:eastAsia="华文中宋" w:cs="方正小标宋简体"/>
          <w:b/>
          <w:sz w:val="44"/>
          <w:szCs w:val="44"/>
          <w:lang w:val="en-US" w:eastAsia="zh-CN"/>
        </w:rPr>
        <w:t>1</w:t>
      </w:r>
      <w:r>
        <w:rPr>
          <w:rFonts w:hint="eastAsia" w:ascii="华文中宋" w:hAnsi="华文中宋" w:eastAsia="华文中宋" w:cs="方正小标宋简体"/>
          <w:b/>
          <w:sz w:val="44"/>
          <w:szCs w:val="44"/>
        </w:rPr>
        <w:t>年度项目支出自评报告</w:t>
      </w:r>
      <w:bookmarkEnd w:id="2"/>
      <w:bookmarkEnd w:id="3"/>
      <w:bookmarkEnd w:id="4"/>
      <w:bookmarkEnd w:id="5"/>
      <w:bookmarkEnd w:id="6"/>
      <w:bookmarkEnd w:id="7"/>
      <w:bookmarkEnd w:id="8"/>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为深入贯彻落实</w:t>
      </w:r>
      <w:r>
        <w:rPr>
          <w:rFonts w:ascii="仿宋_GB2312" w:eastAsia="仿宋_GB2312" w:cs="仿宋_GB2312"/>
          <w:sz w:val="32"/>
          <w:szCs w:val="32"/>
          <w:lang w:val="zh-CN"/>
        </w:rPr>
        <w:t>《中共</w:t>
      </w:r>
      <w:r>
        <w:rPr>
          <w:rFonts w:hint="eastAsia" w:ascii="仿宋_GB2312" w:eastAsia="仿宋_GB2312" w:cs="仿宋_GB2312"/>
          <w:sz w:val="32"/>
          <w:szCs w:val="32"/>
          <w:lang w:val="zh-CN"/>
        </w:rPr>
        <w:t>三门峡市</w:t>
      </w:r>
      <w:r>
        <w:rPr>
          <w:rFonts w:ascii="仿宋_GB2312" w:eastAsia="仿宋_GB2312" w:cs="仿宋_GB2312"/>
          <w:sz w:val="32"/>
          <w:szCs w:val="32"/>
          <w:lang w:val="zh-CN"/>
        </w:rPr>
        <w:t>委</w:t>
      </w:r>
      <w:r>
        <w:rPr>
          <w:rFonts w:hint="eastAsia" w:ascii="仿宋_GB2312" w:eastAsia="仿宋_GB2312" w:cs="仿宋_GB2312"/>
          <w:sz w:val="32"/>
          <w:szCs w:val="32"/>
          <w:lang w:val="zh-CN"/>
        </w:rPr>
        <w:t>三门峡市</w:t>
      </w:r>
      <w:r>
        <w:rPr>
          <w:rFonts w:ascii="仿宋_GB2312" w:eastAsia="仿宋_GB2312" w:cs="仿宋_GB2312"/>
          <w:sz w:val="32"/>
          <w:szCs w:val="32"/>
          <w:lang w:val="zh-CN"/>
        </w:rPr>
        <w:t>人民政府关于全面实施预算绩效管理的实施意见》</w:t>
      </w:r>
      <w:r>
        <w:rPr>
          <w:rFonts w:hint="eastAsia" w:ascii="仿宋_GB2312" w:eastAsia="仿宋_GB2312" w:cs="仿宋_GB2312"/>
          <w:sz w:val="32"/>
          <w:szCs w:val="32"/>
        </w:rPr>
        <w:t>有关要求，健全绩效评价常态化机制，强化部门预算绩效管理主体责任，提高财政资金使用效益。按照《</w:t>
      </w:r>
      <w:r>
        <w:rPr>
          <w:rFonts w:hint="eastAsia" w:ascii="仿宋_GB2312" w:eastAsia="仿宋_GB2312" w:cs="仿宋_GB2312"/>
          <w:sz w:val="32"/>
          <w:szCs w:val="32"/>
          <w:lang w:val="zh-CN"/>
        </w:rPr>
        <w:t>三门峡市</w:t>
      </w:r>
      <w:r>
        <w:rPr>
          <w:rFonts w:ascii="仿宋_GB2312" w:eastAsia="仿宋_GB2312" w:cs="仿宋_GB2312"/>
          <w:sz w:val="32"/>
          <w:szCs w:val="32"/>
          <w:lang w:val="zh-CN"/>
        </w:rPr>
        <w:t>财政局关于开展202</w:t>
      </w:r>
      <w:r>
        <w:rPr>
          <w:rFonts w:hint="eastAsia" w:ascii="仿宋_GB2312" w:eastAsia="仿宋_GB2312" w:cs="仿宋_GB2312"/>
          <w:sz w:val="32"/>
          <w:szCs w:val="32"/>
          <w:lang w:val="en-US" w:eastAsia="zh-CN"/>
        </w:rPr>
        <w:t>1</w:t>
      </w:r>
      <w:r>
        <w:rPr>
          <w:rFonts w:ascii="仿宋_GB2312" w:eastAsia="仿宋_GB2312" w:cs="仿宋_GB2312"/>
          <w:sz w:val="32"/>
          <w:szCs w:val="32"/>
          <w:lang w:val="zh-CN"/>
        </w:rPr>
        <w:t>年度市级预算绩效自评工作的通知</w:t>
      </w:r>
      <w:r>
        <w:rPr>
          <w:rFonts w:hint="eastAsia" w:ascii="仿宋_GB2312" w:eastAsia="仿宋_GB2312" w:cs="仿宋_GB2312"/>
          <w:sz w:val="32"/>
          <w:szCs w:val="32"/>
        </w:rPr>
        <w:t>》（</w:t>
      </w:r>
      <w:r>
        <w:rPr>
          <w:rFonts w:ascii="仿宋_GB2312" w:eastAsia="仿宋_GB2312" w:cs="仿宋_GB2312"/>
          <w:sz w:val="32"/>
          <w:szCs w:val="32"/>
          <w:lang w:val="zh-CN"/>
        </w:rPr>
        <w:t>三财效〔202</w:t>
      </w:r>
      <w:r>
        <w:rPr>
          <w:rFonts w:hint="eastAsia" w:ascii="仿宋_GB2312" w:eastAsia="仿宋_GB2312" w:cs="仿宋_GB2312"/>
          <w:sz w:val="32"/>
          <w:szCs w:val="32"/>
          <w:lang w:val="en-US" w:eastAsia="zh-CN"/>
        </w:rPr>
        <w:t>2</w:t>
      </w:r>
      <w:r>
        <w:rPr>
          <w:rFonts w:ascii="仿宋_GB2312" w:eastAsia="仿宋_GB2312" w:cs="仿宋_GB2312"/>
          <w:sz w:val="32"/>
          <w:szCs w:val="32"/>
          <w:lang w:val="zh-CN"/>
        </w:rPr>
        <w:t>〕3号</w:t>
      </w:r>
      <w:r>
        <w:rPr>
          <w:rFonts w:hint="eastAsia" w:ascii="仿宋_GB2312" w:eastAsia="仿宋_GB2312" w:cs="仿宋_GB2312"/>
          <w:sz w:val="32"/>
          <w:szCs w:val="32"/>
        </w:rPr>
        <w:t>）文件的相关要求，我单位高度重视，成立了绩效自评工作领导小组，通过基础资料收集、问卷调查、数据汇总分析等工作程序，对部门整体的情况进行全面了解，根据</w:t>
      </w:r>
      <w:r>
        <w:rPr>
          <w:rFonts w:ascii="仿宋_GB2312" w:eastAsia="仿宋_GB2312" w:cs="仿宋_GB2312"/>
          <w:sz w:val="32"/>
          <w:szCs w:val="32"/>
          <w:lang w:val="zh-CN"/>
        </w:rPr>
        <w:t>三财效〔202</w:t>
      </w:r>
      <w:r>
        <w:rPr>
          <w:rFonts w:hint="eastAsia" w:ascii="仿宋_GB2312" w:eastAsia="仿宋_GB2312" w:cs="仿宋_GB2312"/>
          <w:sz w:val="32"/>
          <w:szCs w:val="32"/>
          <w:lang w:val="en-US" w:eastAsia="zh-CN"/>
        </w:rPr>
        <w:t>2</w:t>
      </w:r>
      <w:r>
        <w:rPr>
          <w:rFonts w:ascii="仿宋_GB2312" w:eastAsia="仿宋_GB2312" w:cs="仿宋_GB2312"/>
          <w:sz w:val="32"/>
          <w:szCs w:val="32"/>
          <w:lang w:val="zh-CN"/>
        </w:rPr>
        <w:t>〕3号</w:t>
      </w:r>
      <w:r>
        <w:rPr>
          <w:rFonts w:hint="eastAsia" w:ascii="仿宋_GB2312" w:eastAsia="仿宋_GB2312" w:cs="仿宋_GB2312"/>
          <w:sz w:val="32"/>
          <w:szCs w:val="32"/>
        </w:rPr>
        <w:t>文件要求，形成如下绩效自评报告。现将有关情况报告如下：</w:t>
      </w:r>
    </w:p>
    <w:p>
      <w:pPr>
        <w:pStyle w:val="4"/>
        <w:keepNext w:val="0"/>
        <w:keepLines w:val="0"/>
        <w:spacing w:before="0" w:after="0" w:line="360" w:lineRule="auto"/>
        <w:rPr>
          <w:rFonts w:ascii="黑体" w:hAnsi="黑体" w:eastAsia="黑体" w:cs="黑体"/>
          <w:sz w:val="32"/>
          <w:szCs w:val="32"/>
        </w:rPr>
      </w:pPr>
      <w:bookmarkStart w:id="9" w:name="_Toc13873"/>
      <w:bookmarkStart w:id="10" w:name="_Toc21579"/>
      <w:bookmarkStart w:id="11" w:name="_Toc15017"/>
      <w:r>
        <w:rPr>
          <w:rFonts w:hint="eastAsia" w:ascii="黑体" w:hAnsi="黑体" w:eastAsia="黑体" w:cs="黑体"/>
          <w:sz w:val="32"/>
          <w:szCs w:val="32"/>
        </w:rPr>
        <w:t>一、项目支出基本情况</w:t>
      </w:r>
      <w:bookmarkEnd w:id="9"/>
      <w:bookmarkEnd w:id="10"/>
      <w:bookmarkEnd w:id="11"/>
    </w:p>
    <w:p>
      <w:pPr>
        <w:pStyle w:val="5"/>
        <w:keepNext w:val="0"/>
        <w:keepLines w:val="0"/>
        <w:adjustRightInd/>
        <w:snapToGrid/>
        <w:spacing w:before="0" w:after="0"/>
        <w:rPr>
          <w:rFonts w:ascii="黑体" w:hAnsi="黑体" w:eastAsia="黑体" w:cs="黑体"/>
          <w:sz w:val="30"/>
          <w:szCs w:val="30"/>
        </w:rPr>
      </w:pPr>
      <w:bookmarkStart w:id="12" w:name="_Toc19332"/>
      <w:bookmarkStart w:id="13" w:name="_Toc30125"/>
      <w:bookmarkStart w:id="14" w:name="_Toc1381"/>
      <w:r>
        <w:rPr>
          <w:rFonts w:hint="eastAsia" w:ascii="黑体" w:hAnsi="黑体" w:eastAsia="黑体" w:cs="黑体"/>
          <w:sz w:val="30"/>
          <w:szCs w:val="30"/>
        </w:rPr>
        <w:t>（一）项目</w:t>
      </w:r>
      <w:r>
        <w:rPr>
          <w:rFonts w:hint="eastAsia" w:ascii="黑体" w:hAnsi="黑体" w:eastAsia="黑体" w:cs="黑体"/>
        </w:rPr>
        <w:t>支出</w:t>
      </w:r>
      <w:r>
        <w:rPr>
          <w:rFonts w:hint="eastAsia" w:ascii="黑体" w:hAnsi="黑体" w:eastAsia="黑体" w:cs="黑体"/>
          <w:sz w:val="30"/>
          <w:szCs w:val="30"/>
        </w:rPr>
        <w:t>预算和执行情况</w:t>
      </w:r>
      <w:bookmarkEnd w:id="12"/>
      <w:bookmarkEnd w:id="13"/>
      <w:bookmarkEnd w:id="14"/>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三门峡市市场监督管理局</w:t>
      </w:r>
      <w:r>
        <w:rPr>
          <w:rFonts w:ascii="仿宋_GB2312" w:eastAsia="仿宋_GB2312" w:cs="仿宋_GB2312"/>
          <w:sz w:val="32"/>
          <w:szCs w:val="32"/>
          <w:lang w:val="zh-CN"/>
        </w:rPr>
        <w:t>主要职责</w:t>
      </w:r>
      <w:r>
        <w:rPr>
          <w:rFonts w:hint="eastAsia" w:ascii="仿宋_GB2312" w:eastAsia="仿宋_GB2312" w:cs="仿宋_GB2312"/>
          <w:sz w:val="32"/>
          <w:szCs w:val="32"/>
        </w:rPr>
        <w:t>为负责组织开展食品、特种设备、产品质量安全、反垄断、反不正当竞争、价格监督、网络交易监管、广告监管、知识产权保护、消费者权益保护等各类行政执法及相关检查、调查、宣传、培训等工作，加大市场监管综合执法力度，促进市场公平竞争，维护市场正常秩序，维护消费者利益和社会公共利益。</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lang w:eastAsia="zh-CN"/>
        </w:rPr>
        <w:t>市场秩序监管部门维修</w:t>
      </w:r>
      <w:r>
        <w:rPr>
          <w:rFonts w:hint="eastAsia" w:ascii="仿宋_GB2312" w:eastAsia="仿宋_GB2312" w:cs="仿宋_GB2312"/>
          <w:sz w:val="32"/>
          <w:szCs w:val="32"/>
        </w:rPr>
        <w:t>年初预算数为</w:t>
      </w:r>
      <w:r>
        <w:rPr>
          <w:rFonts w:hint="eastAsia" w:ascii="仿宋_GB2312" w:eastAsia="仿宋_GB2312" w:cs="仿宋_GB2312"/>
          <w:sz w:val="32"/>
          <w:szCs w:val="32"/>
          <w:lang w:val="en-US" w:eastAsia="zh-CN"/>
        </w:rPr>
        <w:t>50</w:t>
      </w:r>
      <w:r>
        <w:rPr>
          <w:rFonts w:hint="eastAsia" w:ascii="仿宋_GB2312" w:eastAsia="仿宋_GB2312" w:cs="仿宋_GB2312"/>
          <w:sz w:val="32"/>
          <w:szCs w:val="32"/>
        </w:rPr>
        <w:t>万元，全年财政拨款</w:t>
      </w:r>
      <w:r>
        <w:rPr>
          <w:rFonts w:hint="eastAsia" w:ascii="仿宋_GB2312" w:eastAsia="仿宋_GB2312" w:cs="仿宋_GB2312"/>
          <w:sz w:val="32"/>
          <w:szCs w:val="32"/>
          <w:lang w:val="en-US" w:eastAsia="zh-CN"/>
        </w:rPr>
        <w:t>50</w:t>
      </w:r>
      <w:r>
        <w:rPr>
          <w:rFonts w:hint="eastAsia" w:ascii="仿宋_GB2312" w:eastAsia="仿宋_GB2312" w:cs="仿宋_GB2312"/>
          <w:sz w:val="32"/>
          <w:szCs w:val="32"/>
        </w:rPr>
        <w:t>万元，全年项目实际支出</w:t>
      </w:r>
      <w:r>
        <w:rPr>
          <w:rFonts w:hint="eastAsia" w:ascii="仿宋_GB2312" w:eastAsia="仿宋_GB2312" w:cs="仿宋_GB2312"/>
          <w:sz w:val="32"/>
          <w:szCs w:val="32"/>
          <w:lang w:val="en-US" w:eastAsia="zh-CN"/>
        </w:rPr>
        <w:t>50</w:t>
      </w:r>
      <w:r>
        <w:rPr>
          <w:rFonts w:hint="eastAsia" w:ascii="仿宋_GB2312" w:eastAsia="仿宋_GB2312" w:cs="仿宋_GB2312"/>
          <w:sz w:val="32"/>
          <w:szCs w:val="32"/>
        </w:rPr>
        <w:t>万元，预算执行率100%</w:t>
      </w:r>
    </w:p>
    <w:p>
      <w:pPr>
        <w:pStyle w:val="5"/>
        <w:keepNext w:val="0"/>
        <w:keepLines w:val="0"/>
        <w:numPr>
          <w:ilvl w:val="0"/>
          <w:numId w:val="1"/>
        </w:numPr>
        <w:adjustRightInd/>
        <w:snapToGrid/>
        <w:spacing w:before="0" w:after="0"/>
        <w:rPr>
          <w:rFonts w:ascii="黑体" w:hAnsi="黑体" w:eastAsia="黑体" w:cs="黑体"/>
          <w:sz w:val="30"/>
          <w:szCs w:val="30"/>
        </w:rPr>
      </w:pPr>
      <w:bookmarkStart w:id="15" w:name="_Toc843"/>
      <w:bookmarkStart w:id="16" w:name="_Toc23046"/>
      <w:bookmarkStart w:id="17" w:name="_Toc839"/>
      <w:r>
        <w:rPr>
          <w:rFonts w:hint="eastAsia" w:ascii="黑体" w:hAnsi="黑体" w:eastAsia="黑体" w:cs="黑体"/>
          <w:sz w:val="30"/>
          <w:szCs w:val="30"/>
        </w:rPr>
        <w:t>项目内容</w:t>
      </w:r>
      <w:bookmarkEnd w:id="15"/>
      <w:bookmarkEnd w:id="16"/>
      <w:bookmarkEnd w:id="17"/>
    </w:p>
    <w:p>
      <w:pPr>
        <w:pStyle w:val="13"/>
        <w:widowControl/>
        <w:spacing w:beforeAutospacing="0" w:afterAutospacing="0" w:line="360" w:lineRule="auto"/>
        <w:ind w:firstLine="640" w:firstLineChars="200"/>
        <w:rPr>
          <w:rFonts w:ascii="仿宋_GB2312" w:eastAsia="仿宋_GB2312" w:cs="仿宋_GB2312"/>
          <w:kern w:val="2"/>
          <w:sz w:val="32"/>
          <w:szCs w:val="32"/>
        </w:rPr>
      </w:pPr>
      <w:r>
        <w:rPr>
          <w:rFonts w:hint="eastAsia" w:ascii="仿宋_GB2312" w:hAnsi="仿宋_GB2312" w:eastAsia="仿宋_GB2312" w:cs="仿宋_GB2312"/>
          <w:kern w:val="2"/>
          <w:sz w:val="32"/>
          <w:szCs w:val="32"/>
        </w:rPr>
        <w:t>通过</w:t>
      </w:r>
      <w:r>
        <w:rPr>
          <w:rFonts w:hint="eastAsia" w:ascii="仿宋_GB2312" w:hAnsi="仿宋_GB2312" w:eastAsia="仿宋_GB2312" w:cs="仿宋_GB2312"/>
          <w:b w:val="0"/>
          <w:bCs w:val="0"/>
          <w:color w:val="auto"/>
          <w:sz w:val="32"/>
          <w:szCs w:val="32"/>
        </w:rPr>
        <w:t>做好</w:t>
      </w:r>
      <w:r>
        <w:rPr>
          <w:rFonts w:hint="eastAsia" w:ascii="仿宋_GB2312" w:hAnsi="仿宋_GB2312" w:eastAsia="仿宋_GB2312" w:cs="仿宋_GB2312"/>
          <w:b w:val="0"/>
          <w:bCs w:val="0"/>
          <w:color w:val="auto"/>
          <w:sz w:val="32"/>
          <w:szCs w:val="32"/>
          <w:lang w:eastAsia="zh-CN"/>
        </w:rPr>
        <w:t>办公区域</w:t>
      </w:r>
      <w:r>
        <w:rPr>
          <w:rFonts w:hint="eastAsia" w:ascii="仿宋_GB2312" w:hAnsi="仿宋_GB2312" w:eastAsia="仿宋_GB2312" w:cs="仿宋_GB2312"/>
          <w:b w:val="0"/>
          <w:bCs w:val="0"/>
          <w:color w:val="auto"/>
          <w:sz w:val="32"/>
          <w:szCs w:val="32"/>
        </w:rPr>
        <w:t>日常维</w:t>
      </w:r>
      <w:r>
        <w:rPr>
          <w:rFonts w:hint="eastAsia" w:ascii="仿宋_GB2312" w:hAnsi="仿宋_GB2312" w:eastAsia="仿宋_GB2312" w:cs="仿宋_GB2312"/>
          <w:b w:val="0"/>
          <w:bCs w:val="0"/>
          <w:color w:val="auto"/>
          <w:sz w:val="32"/>
          <w:szCs w:val="32"/>
          <w:lang w:eastAsia="zh-CN"/>
        </w:rPr>
        <w:t>护，高标准完成办公楼</w:t>
      </w:r>
      <w:r>
        <w:rPr>
          <w:rFonts w:hint="eastAsia" w:ascii="仿宋_GB2312" w:hAnsi="仿宋_GB2312" w:eastAsia="仿宋_GB2312" w:cs="仿宋_GB2312"/>
          <w:b w:val="0"/>
          <w:bCs w:val="0"/>
          <w:color w:val="auto"/>
          <w:sz w:val="32"/>
          <w:szCs w:val="32"/>
        </w:rPr>
        <w:t>暖气总管</w:t>
      </w:r>
      <w:r>
        <w:rPr>
          <w:rFonts w:hint="eastAsia" w:ascii="仿宋_GB2312" w:hAnsi="仿宋_GB2312" w:eastAsia="仿宋_GB2312" w:cs="仿宋_GB2312"/>
          <w:b w:val="0"/>
          <w:bCs w:val="0"/>
          <w:color w:val="auto"/>
          <w:sz w:val="32"/>
          <w:szCs w:val="32"/>
          <w:lang w:eastAsia="zh-CN"/>
        </w:rPr>
        <w:t>、雨水管和楼</w:t>
      </w:r>
      <w:r>
        <w:rPr>
          <w:rFonts w:hint="eastAsia" w:ascii="仿宋_GB2312" w:hAnsi="仿宋_GB2312" w:eastAsia="仿宋_GB2312" w:cs="仿宋_GB2312"/>
          <w:b w:val="0"/>
          <w:bCs w:val="0"/>
          <w:color w:val="auto"/>
          <w:sz w:val="32"/>
          <w:szCs w:val="32"/>
          <w:lang w:val="en-US" w:eastAsia="zh-CN"/>
        </w:rPr>
        <w:t>顶防水工程，</w:t>
      </w:r>
      <w:r>
        <w:rPr>
          <w:rFonts w:hint="eastAsia" w:ascii="仿宋_GB2312" w:hAnsi="仿宋_GB2312" w:eastAsia="仿宋_GB2312" w:cs="仿宋_GB2312"/>
          <w:b w:val="0"/>
          <w:bCs w:val="0"/>
          <w:color w:val="auto"/>
          <w:sz w:val="32"/>
          <w:szCs w:val="32"/>
          <w:lang w:eastAsia="zh-CN"/>
        </w:rPr>
        <w:t>及时消除了崤山公馆</w:t>
      </w:r>
      <w:r>
        <w:rPr>
          <w:rFonts w:hint="eastAsia" w:ascii="仿宋_GB2312" w:hAnsi="仿宋_GB2312" w:eastAsia="仿宋_GB2312" w:cs="仿宋_GB2312"/>
          <w:b w:val="0"/>
          <w:bCs w:val="0"/>
          <w:color w:val="auto"/>
          <w:sz w:val="32"/>
          <w:szCs w:val="32"/>
        </w:rPr>
        <w:t>路面</w:t>
      </w:r>
      <w:r>
        <w:rPr>
          <w:rFonts w:hint="eastAsia" w:ascii="仿宋_GB2312" w:hAnsi="仿宋_GB2312" w:eastAsia="仿宋_GB2312" w:cs="仿宋_GB2312"/>
          <w:b w:val="0"/>
          <w:bCs w:val="0"/>
          <w:color w:val="auto"/>
          <w:sz w:val="32"/>
          <w:szCs w:val="32"/>
          <w:lang w:eastAsia="zh-CN"/>
        </w:rPr>
        <w:t>建设</w:t>
      </w:r>
      <w:r>
        <w:rPr>
          <w:rFonts w:hint="eastAsia" w:ascii="仿宋_GB2312" w:hAnsi="仿宋_GB2312" w:eastAsia="仿宋_GB2312" w:cs="仿宋_GB2312"/>
          <w:b w:val="0"/>
          <w:bCs w:val="0"/>
          <w:color w:val="auto"/>
          <w:sz w:val="32"/>
          <w:szCs w:val="32"/>
        </w:rPr>
        <w:t>对我局</w:t>
      </w:r>
      <w:r>
        <w:rPr>
          <w:rFonts w:hint="eastAsia" w:ascii="仿宋_GB2312" w:hAnsi="仿宋_GB2312" w:eastAsia="仿宋_GB2312" w:cs="仿宋_GB2312"/>
          <w:b w:val="0"/>
          <w:bCs w:val="0"/>
          <w:color w:val="auto"/>
          <w:sz w:val="32"/>
          <w:szCs w:val="32"/>
          <w:lang w:eastAsia="zh-CN"/>
        </w:rPr>
        <w:t>东侧</w:t>
      </w:r>
      <w:r>
        <w:rPr>
          <w:rFonts w:hint="eastAsia" w:ascii="仿宋_GB2312" w:hAnsi="仿宋_GB2312" w:eastAsia="仿宋_GB2312" w:cs="仿宋_GB2312"/>
          <w:b w:val="0"/>
          <w:bCs w:val="0"/>
          <w:color w:val="auto"/>
          <w:sz w:val="32"/>
          <w:szCs w:val="32"/>
        </w:rPr>
        <w:t>院墙</w:t>
      </w:r>
      <w:r>
        <w:rPr>
          <w:rFonts w:hint="eastAsia" w:ascii="仿宋_GB2312" w:hAnsi="仿宋_GB2312" w:eastAsia="仿宋_GB2312" w:cs="仿宋_GB2312"/>
          <w:b w:val="0"/>
          <w:bCs w:val="0"/>
          <w:color w:val="auto"/>
          <w:sz w:val="32"/>
          <w:szCs w:val="32"/>
          <w:lang w:eastAsia="zh-CN"/>
        </w:rPr>
        <w:t>的不利</w:t>
      </w:r>
      <w:r>
        <w:rPr>
          <w:rFonts w:hint="eastAsia" w:ascii="仿宋_GB2312" w:hAnsi="仿宋_GB2312" w:eastAsia="仿宋_GB2312" w:cs="仿宋_GB2312"/>
          <w:b w:val="0"/>
          <w:bCs w:val="0"/>
          <w:color w:val="auto"/>
          <w:sz w:val="32"/>
          <w:szCs w:val="32"/>
        </w:rPr>
        <w:t>影响</w:t>
      </w:r>
      <w:r>
        <w:rPr>
          <w:rFonts w:hint="eastAsia" w:ascii="仿宋_GB2312" w:hAnsi="仿宋_GB2312" w:eastAsia="仿宋_GB2312" w:cs="仿宋_GB2312"/>
          <w:b w:val="0"/>
          <w:bCs w:val="0"/>
          <w:color w:val="auto"/>
          <w:sz w:val="32"/>
          <w:szCs w:val="32"/>
          <w:lang w:eastAsia="zh-CN"/>
        </w:rPr>
        <w:t>，全</w:t>
      </w:r>
      <w:r>
        <w:rPr>
          <w:rFonts w:hint="eastAsia" w:ascii="仿宋_GB2312" w:hAnsi="仿宋_GB2312" w:eastAsia="仿宋_GB2312" w:cs="仿宋_GB2312"/>
          <w:b w:val="0"/>
          <w:bCs w:val="0"/>
          <w:color w:val="auto"/>
          <w:sz w:val="32"/>
          <w:szCs w:val="32"/>
          <w:lang w:val="en-US" w:eastAsia="zh-CN"/>
        </w:rPr>
        <w:t>年</w:t>
      </w:r>
      <w:r>
        <w:rPr>
          <w:rFonts w:hint="eastAsia" w:ascii="仿宋_GB2312" w:hAnsi="仿宋_GB2312" w:eastAsia="仿宋_GB2312" w:cs="仿宋_GB2312"/>
          <w:b w:val="0"/>
          <w:bCs w:val="0"/>
          <w:color w:val="auto"/>
          <w:sz w:val="32"/>
          <w:szCs w:val="32"/>
        </w:rPr>
        <w:t>维修各类电力故障</w:t>
      </w:r>
      <w:r>
        <w:rPr>
          <w:rFonts w:hint="eastAsia" w:ascii="仿宋_GB2312" w:hAnsi="仿宋_GB2312" w:eastAsia="仿宋_GB2312" w:cs="仿宋_GB2312"/>
          <w:b w:val="0"/>
          <w:bCs w:val="0"/>
          <w:color w:val="auto"/>
          <w:sz w:val="32"/>
          <w:szCs w:val="32"/>
          <w:lang w:val="en-US" w:eastAsia="zh-CN"/>
        </w:rPr>
        <w:t>30余</w:t>
      </w:r>
      <w:r>
        <w:rPr>
          <w:rFonts w:hint="eastAsia" w:ascii="仿宋_GB2312" w:hAnsi="仿宋_GB2312" w:eastAsia="仿宋_GB2312" w:cs="仿宋_GB2312"/>
          <w:b w:val="0"/>
          <w:bCs w:val="0"/>
          <w:color w:val="auto"/>
          <w:sz w:val="32"/>
          <w:szCs w:val="32"/>
        </w:rPr>
        <w:t>次</w:t>
      </w:r>
      <w:r>
        <w:rPr>
          <w:rFonts w:hint="eastAsia" w:ascii="仿宋_GB2312" w:hAnsi="仿宋_GB2312" w:eastAsia="仿宋_GB2312" w:cs="仿宋_GB2312"/>
          <w:b w:val="0"/>
          <w:bCs w:val="0"/>
          <w:color w:val="auto"/>
          <w:sz w:val="32"/>
          <w:szCs w:val="32"/>
          <w:lang w:eastAsia="zh-CN"/>
        </w:rPr>
        <w:t>，维修锁具、门窗、下水道等</w:t>
      </w:r>
      <w:r>
        <w:rPr>
          <w:rFonts w:hint="eastAsia" w:ascii="仿宋_GB2312" w:hAnsi="仿宋_GB2312" w:eastAsia="仿宋_GB2312" w:cs="仿宋_GB2312"/>
          <w:b w:val="0"/>
          <w:bCs w:val="0"/>
          <w:color w:val="auto"/>
          <w:sz w:val="32"/>
          <w:szCs w:val="32"/>
          <w:lang w:val="en-US" w:eastAsia="zh-CN"/>
        </w:rPr>
        <w:t>20余次</w:t>
      </w:r>
      <w:r>
        <w:rPr>
          <w:rFonts w:hint="eastAsia" w:ascii="仿宋_GB2312" w:eastAsia="仿宋_GB2312" w:cs="仿宋_GB2312"/>
          <w:kern w:val="2"/>
          <w:sz w:val="32"/>
          <w:szCs w:val="32"/>
          <w:lang w:eastAsia="zh-CN"/>
        </w:rPr>
        <w:t>，</w:t>
      </w:r>
      <w:r>
        <w:rPr>
          <w:rFonts w:hint="eastAsia" w:ascii="仿宋_GB2312" w:eastAsia="仿宋_GB2312" w:cs="仿宋_GB2312"/>
          <w:kern w:val="2"/>
          <w:sz w:val="32"/>
          <w:szCs w:val="32"/>
        </w:rPr>
        <w:t>保障办公楼的正常运行，从而保障行政工作人员的正常工作，为人民群众创建一个方便、便捷办理业务、处理问题的服务平台。</w:t>
      </w:r>
    </w:p>
    <w:p>
      <w:pPr>
        <w:pStyle w:val="5"/>
        <w:keepNext w:val="0"/>
        <w:keepLines w:val="0"/>
        <w:adjustRightInd/>
        <w:snapToGrid/>
        <w:spacing w:before="0" w:after="0"/>
        <w:rPr>
          <w:rFonts w:ascii="黑体" w:hAnsi="黑体" w:eastAsia="黑体" w:cs="黑体"/>
          <w:sz w:val="30"/>
          <w:szCs w:val="30"/>
        </w:rPr>
      </w:pPr>
      <w:bookmarkStart w:id="18" w:name="_Toc12012"/>
      <w:bookmarkStart w:id="19" w:name="_Toc18257"/>
      <w:bookmarkStart w:id="20" w:name="_Toc23203"/>
      <w:r>
        <w:rPr>
          <w:rFonts w:hint="eastAsia" w:ascii="黑体" w:hAnsi="黑体" w:eastAsia="黑体" w:cs="黑体"/>
          <w:sz w:val="30"/>
          <w:szCs w:val="30"/>
        </w:rPr>
        <w:t>（三）绩效目标批复情况</w:t>
      </w:r>
      <w:bookmarkEnd w:id="18"/>
      <w:bookmarkEnd w:id="19"/>
      <w:bookmarkEnd w:id="20"/>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我单位各科室，根据历史依据和当年目标任务编制202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项目预算，并结合项目实际情况，按照“谁批复预算，谁批复目标”的原则，编报项目绩效目标申报表。提交市局审核汇总，上报三门峡市财政局审批，三门峡市财政局在市人代会批准我部门年度预算后，将绩效目标随部门预算批复我部门；我部门将批复的绩效目标按预算管理级次细化批复到项目科室，并提出绩效管理具体工作要求。</w:t>
      </w:r>
    </w:p>
    <w:p>
      <w:pPr>
        <w:pStyle w:val="4"/>
        <w:keepNext w:val="0"/>
        <w:keepLines w:val="0"/>
        <w:spacing w:before="0" w:after="0" w:line="360" w:lineRule="auto"/>
        <w:rPr>
          <w:rFonts w:ascii="黑体" w:hAnsi="黑体" w:eastAsia="黑体" w:cs="黑体"/>
          <w:sz w:val="32"/>
          <w:szCs w:val="32"/>
        </w:rPr>
      </w:pPr>
      <w:bookmarkStart w:id="21" w:name="_Toc31315"/>
      <w:bookmarkStart w:id="22" w:name="_Toc26306"/>
      <w:bookmarkStart w:id="23" w:name="_Toc22554"/>
      <w:r>
        <w:rPr>
          <w:rFonts w:hint="eastAsia" w:ascii="黑体" w:hAnsi="黑体" w:eastAsia="黑体" w:cs="黑体"/>
          <w:sz w:val="32"/>
          <w:szCs w:val="32"/>
        </w:rPr>
        <w:t>二、单位</w:t>
      </w:r>
      <w:r>
        <w:rPr>
          <w:rFonts w:ascii="黑体" w:hAnsi="黑体" w:eastAsia="黑体" w:cs="黑体"/>
          <w:sz w:val="32"/>
          <w:szCs w:val="32"/>
        </w:rPr>
        <w:t>自评工作开展情况</w:t>
      </w:r>
      <w:bookmarkEnd w:id="21"/>
      <w:bookmarkEnd w:id="22"/>
      <w:bookmarkEnd w:id="23"/>
    </w:p>
    <w:p>
      <w:pPr>
        <w:pStyle w:val="5"/>
        <w:keepNext w:val="0"/>
        <w:keepLines w:val="0"/>
        <w:adjustRightInd/>
        <w:snapToGrid/>
        <w:spacing w:before="0" w:after="0"/>
        <w:rPr>
          <w:rFonts w:ascii="黑体" w:hAnsi="黑体" w:eastAsia="黑体" w:cs="黑体"/>
          <w:sz w:val="30"/>
          <w:szCs w:val="30"/>
        </w:rPr>
      </w:pPr>
      <w:bookmarkStart w:id="24" w:name="_Toc12595"/>
      <w:bookmarkStart w:id="25" w:name="_Toc25866"/>
      <w:bookmarkStart w:id="26" w:name="_Toc7132"/>
      <w:bookmarkStart w:id="27" w:name="_Toc8544"/>
      <w:bookmarkStart w:id="28" w:name="_Toc31583"/>
      <w:r>
        <w:rPr>
          <w:rFonts w:hint="eastAsia" w:ascii="黑体" w:hAnsi="黑体" w:eastAsia="黑体" w:cs="黑体"/>
          <w:sz w:val="30"/>
          <w:szCs w:val="30"/>
        </w:rPr>
        <w:t>（一）绩效自评目的和意义</w:t>
      </w:r>
      <w:bookmarkEnd w:id="24"/>
      <w:bookmarkEnd w:id="25"/>
      <w:bookmarkEnd w:id="26"/>
      <w:bookmarkEnd w:id="27"/>
      <w:bookmarkEnd w:id="28"/>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预算支出绩效自评是预算单位运用科学、规范的评价方法，对照统一的评价标准，对预算支出的效率和效益进行的自我衡量和综合评价。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预算支出绩效自评的目的是：通过对绩效目标的综合考评，合理配置资源，优化支出结构，规范预算资金分配，提高财政资源配置效率和使用效益。</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推进预算支出绩效自评的意义是：加强部门及项目预算管理，有利于建设高效透明政府，有利于深化政府管理体制改革。从政府部门管理层面来看，可促进预算单位预算管理的科学性和合理性；从财政部门资金监管层面来看，可深入了解资金投向的明确性和准确性，提高资金使用效率；从项目实施单位来看，可以进一步规范资金使用，提升项目实施效果。</w:t>
      </w:r>
    </w:p>
    <w:p>
      <w:pPr>
        <w:pStyle w:val="5"/>
        <w:keepNext w:val="0"/>
        <w:keepLines w:val="0"/>
        <w:adjustRightInd/>
        <w:snapToGrid/>
        <w:spacing w:before="0" w:after="0"/>
        <w:rPr>
          <w:rFonts w:ascii="黑体" w:hAnsi="黑体" w:eastAsia="黑体" w:cs="黑体"/>
          <w:sz w:val="30"/>
          <w:szCs w:val="30"/>
        </w:rPr>
      </w:pPr>
      <w:bookmarkStart w:id="29" w:name="_Toc4202"/>
      <w:bookmarkStart w:id="30" w:name="_Toc21569"/>
      <w:bookmarkStart w:id="31" w:name="_Toc26818"/>
      <w:bookmarkStart w:id="32" w:name="_Toc9139"/>
      <w:bookmarkStart w:id="33" w:name="_Toc11744"/>
      <w:r>
        <w:rPr>
          <w:rFonts w:hint="eastAsia" w:ascii="黑体" w:hAnsi="黑体" w:eastAsia="黑体" w:cs="黑体"/>
          <w:sz w:val="30"/>
          <w:szCs w:val="30"/>
        </w:rPr>
        <w:t>（二）绩效自评对象和范围</w:t>
      </w:r>
      <w:bookmarkEnd w:id="29"/>
      <w:bookmarkEnd w:id="30"/>
      <w:bookmarkEnd w:id="31"/>
      <w:bookmarkEnd w:id="32"/>
      <w:bookmarkEnd w:id="33"/>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本次绩效自评对象为三门峡市市场监督管理局，202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年实施</w:t>
      </w:r>
      <w:r>
        <w:rPr>
          <w:rFonts w:hint="eastAsia" w:ascii="仿宋_GB2312" w:hAnsi="仿宋_GB2312" w:eastAsia="仿宋_GB2312" w:cs="仿宋_GB2312"/>
          <w:sz w:val="32"/>
          <w:szCs w:val="32"/>
          <w:lang w:eastAsia="zh-CN"/>
        </w:rPr>
        <w:t>市场监管局</w:t>
      </w:r>
      <w:r>
        <w:rPr>
          <w:rFonts w:hint="eastAsia" w:ascii="仿宋_GB2312" w:hAnsi="仿宋_GB2312" w:eastAsia="仿宋_GB2312" w:cs="仿宋_GB2312"/>
          <w:sz w:val="32"/>
          <w:szCs w:val="32"/>
        </w:rPr>
        <w:t>办公楼及设备运维费的费用支出，涉及资金</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万元，评价范围为涉及该项目管理及其预算资金使用绩效的相关情况。</w:t>
      </w:r>
    </w:p>
    <w:p>
      <w:pPr>
        <w:pStyle w:val="5"/>
        <w:keepNext w:val="0"/>
        <w:keepLines w:val="0"/>
        <w:adjustRightInd/>
        <w:snapToGrid/>
        <w:spacing w:before="0" w:after="0"/>
        <w:rPr>
          <w:rFonts w:ascii="黑体" w:hAnsi="黑体" w:eastAsia="黑体" w:cs="黑体"/>
          <w:sz w:val="30"/>
          <w:szCs w:val="30"/>
        </w:rPr>
      </w:pPr>
      <w:bookmarkStart w:id="34" w:name="_Toc31552"/>
      <w:bookmarkStart w:id="35" w:name="_Toc20074"/>
      <w:bookmarkStart w:id="36" w:name="_Toc21596"/>
      <w:bookmarkStart w:id="37" w:name="_Toc23494"/>
      <w:bookmarkStart w:id="38" w:name="_Toc17710"/>
      <w:r>
        <w:rPr>
          <w:rFonts w:hint="eastAsia" w:ascii="黑体" w:hAnsi="黑体" w:eastAsia="黑体" w:cs="黑体"/>
          <w:sz w:val="30"/>
          <w:szCs w:val="30"/>
        </w:rPr>
        <w:t>（三）绩效评价的依据</w:t>
      </w:r>
      <w:bookmarkEnd w:id="34"/>
      <w:bookmarkEnd w:id="35"/>
      <w:bookmarkEnd w:id="36"/>
      <w:bookmarkEnd w:id="37"/>
      <w:bookmarkEnd w:id="38"/>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1.中共中央、国务院《关于全面实施预算绩效管理的意见》（中发〔2018〕34号）；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2.《项目支出绩效评价管理办法》（财预[2020]10号）；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3.《中共河南省委 河南省人民政府关于全面实施预算绩效管理的实施意见》（豫发〔2019〕10号）；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4.河南省财政厅关于印发《河南省省级预算项目支出绩效评价管理办法》的通知（豫财效〔2020〕10号）；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ascii="仿宋_GB2312" w:hAnsi="仿宋_GB2312" w:eastAsia="仿宋_GB2312" w:cs="仿宋_GB2312"/>
          <w:sz w:val="32"/>
          <w:szCs w:val="32"/>
          <w:lang w:val="zh-CN"/>
        </w:rPr>
        <w:t>《中共</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委</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人民政府关于全面实施预算绩效管理的实施意见》（三发〔2020</w:t>
      </w:r>
      <w:r>
        <w:rPr>
          <w:rFonts w:hint="eastAsia" w:ascii="仿宋_GB2312" w:hAnsi="仿宋_GB2312" w:eastAsia="仿宋_GB2312" w:cs="仿宋_GB2312"/>
          <w:sz w:val="32"/>
          <w:szCs w:val="32"/>
        </w:rPr>
        <w:t>〕</w:t>
      </w:r>
      <w:r>
        <w:rPr>
          <w:rFonts w:ascii="仿宋_GB2312" w:hAnsi="仿宋_GB2312" w:eastAsia="仿宋_GB2312" w:cs="仿宋_GB2312"/>
          <w:sz w:val="32"/>
          <w:szCs w:val="32"/>
          <w:lang w:val="zh-CN"/>
        </w:rPr>
        <w:t>14号）</w:t>
      </w:r>
      <w:r>
        <w:rPr>
          <w:rFonts w:hint="eastAsia" w:ascii="仿宋_GB2312" w:hAnsi="仿宋_GB2312" w:eastAsia="仿宋_GB2312" w:cs="仿宋_GB2312"/>
          <w:sz w:val="32"/>
          <w:szCs w:val="32"/>
        </w:rPr>
        <w:t>；</w:t>
      </w:r>
    </w:p>
    <w:p>
      <w:pPr>
        <w:spacing w:line="360" w:lineRule="auto"/>
        <w:ind w:firstLine="640" w:firstLineChars="200"/>
        <w:rPr>
          <w:rFonts w:ascii="仿宋_GB2312" w:hAnsi="仿宋_GB2312" w:eastAsia="仿宋_GB2312" w:cs="仿宋_GB2312"/>
          <w:sz w:val="32"/>
          <w:szCs w:val="32"/>
        </w:rPr>
      </w:pPr>
      <w:bookmarkStart w:id="39" w:name="_Toc15060"/>
      <w:bookmarkStart w:id="40" w:name="_Toc2346"/>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财政局关于开展202</w:t>
      </w:r>
      <w:r>
        <w:rPr>
          <w:rFonts w:hint="eastAsia" w:ascii="仿宋_GB2312" w:hAnsi="仿宋_GB2312" w:eastAsia="仿宋_GB2312" w:cs="仿宋_GB2312"/>
          <w:sz w:val="32"/>
          <w:szCs w:val="32"/>
          <w:lang w:val="en-US" w:eastAsia="zh-CN"/>
        </w:rPr>
        <w:t>1</w:t>
      </w:r>
      <w:r>
        <w:rPr>
          <w:rFonts w:ascii="仿宋_GB2312" w:hAnsi="仿宋_GB2312" w:eastAsia="仿宋_GB2312" w:cs="仿宋_GB2312"/>
          <w:sz w:val="32"/>
          <w:szCs w:val="32"/>
          <w:lang w:val="zh-CN"/>
        </w:rPr>
        <w:t>年度市级预算绩效自评工作的通知</w:t>
      </w:r>
      <w:r>
        <w:rPr>
          <w:rFonts w:hint="eastAsia" w:ascii="仿宋_GB2312" w:hAnsi="仿宋_GB2312" w:eastAsia="仿宋_GB2312" w:cs="仿宋_GB2312"/>
          <w:sz w:val="32"/>
          <w:szCs w:val="32"/>
        </w:rPr>
        <w:t>》（</w:t>
      </w:r>
      <w:r>
        <w:rPr>
          <w:rFonts w:ascii="仿宋_GB2312" w:hAnsi="仿宋_GB2312" w:eastAsia="仿宋_GB2312" w:cs="仿宋_GB2312"/>
          <w:sz w:val="32"/>
          <w:szCs w:val="32"/>
          <w:lang w:val="zh-CN"/>
        </w:rPr>
        <w:t>三财效〔202</w:t>
      </w:r>
      <w:r>
        <w:rPr>
          <w:rFonts w:hint="eastAsia" w:ascii="仿宋_GB2312" w:hAnsi="仿宋_GB2312" w:eastAsia="仿宋_GB2312" w:cs="仿宋_GB2312"/>
          <w:sz w:val="32"/>
          <w:szCs w:val="32"/>
          <w:lang w:val="en-US" w:eastAsia="zh-CN"/>
        </w:rPr>
        <w:t>2</w:t>
      </w:r>
      <w:r>
        <w:rPr>
          <w:rFonts w:ascii="仿宋_GB2312" w:hAnsi="仿宋_GB2312" w:eastAsia="仿宋_GB2312" w:cs="仿宋_GB2312"/>
          <w:sz w:val="32"/>
          <w:szCs w:val="32"/>
          <w:lang w:val="zh-CN"/>
        </w:rPr>
        <w:t>〕3号</w:t>
      </w:r>
      <w:r>
        <w:rPr>
          <w:rFonts w:hint="eastAsia" w:ascii="仿宋_GB2312" w:hAnsi="仿宋_GB2312" w:eastAsia="仿宋_GB2312" w:cs="仿宋_GB2312"/>
          <w:sz w:val="32"/>
          <w:szCs w:val="32"/>
        </w:rPr>
        <w:t>）；</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7.与本次自评相关的其他资料。</w:t>
      </w:r>
    </w:p>
    <w:p>
      <w:pPr>
        <w:pStyle w:val="5"/>
        <w:keepNext w:val="0"/>
        <w:keepLines w:val="0"/>
        <w:adjustRightInd/>
        <w:snapToGrid/>
        <w:spacing w:before="0" w:after="0"/>
        <w:rPr>
          <w:rFonts w:ascii="黑体" w:hAnsi="黑体" w:eastAsia="黑体" w:cs="黑体"/>
          <w:sz w:val="30"/>
          <w:szCs w:val="30"/>
        </w:rPr>
      </w:pPr>
      <w:bookmarkStart w:id="41" w:name="_Toc18992"/>
      <w:bookmarkStart w:id="42" w:name="_Toc23997"/>
      <w:bookmarkStart w:id="43" w:name="_Toc1796"/>
      <w:r>
        <w:rPr>
          <w:rFonts w:hint="eastAsia" w:ascii="黑体" w:hAnsi="黑体" w:eastAsia="黑体" w:cs="黑体"/>
          <w:sz w:val="30"/>
          <w:szCs w:val="30"/>
        </w:rPr>
        <w:t>（四）评分方法</w:t>
      </w:r>
      <w:bookmarkEnd w:id="39"/>
      <w:bookmarkEnd w:id="40"/>
      <w:bookmarkEnd w:id="41"/>
      <w:bookmarkEnd w:id="42"/>
      <w:bookmarkEnd w:id="43"/>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根据财政部《项目支出绩效评价管理办法》（财预〔2020〕10 号）第十六条的相关要求：</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“单位自评采用定量与定性评价相结合的比较法，总分由各项指标得分汇总形成。</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定量指标得分按照以下方法评定：与年初指标值相比，完成指标值的，计该指标所赋全部分值；对完成值高于指标值较多的，要分析原因，如果是由于年初指标值设定明显偏低造成的，要按照偏离度适度调减分值；未完成指标值的，按照完成值与指标值的比例计分。</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定性指标得分按照以下方法评定：根据指标完成情况分为达成年度指标、部分达成年度指标并具有一定效果、未达成年度指标且效果较差三档，分别按照该指标对应分值区间100%—80%（含）、80%—60%（含）、60%—0%合理确定分值。”</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财政局关于开展202</w:t>
      </w:r>
      <w:r>
        <w:rPr>
          <w:rFonts w:hint="eastAsia" w:ascii="仿宋_GB2312" w:hAnsi="仿宋_GB2312" w:eastAsia="仿宋_GB2312" w:cs="仿宋_GB2312"/>
          <w:sz w:val="32"/>
          <w:szCs w:val="32"/>
          <w:lang w:val="en-US" w:eastAsia="zh-CN"/>
        </w:rPr>
        <w:t>1</w:t>
      </w:r>
      <w:r>
        <w:rPr>
          <w:rFonts w:ascii="仿宋_GB2312" w:hAnsi="仿宋_GB2312" w:eastAsia="仿宋_GB2312" w:cs="仿宋_GB2312"/>
          <w:sz w:val="32"/>
          <w:szCs w:val="32"/>
          <w:lang w:val="zh-CN"/>
        </w:rPr>
        <w:t>年度市级预算绩效自评工作的通知</w:t>
      </w:r>
      <w:r>
        <w:rPr>
          <w:rFonts w:hint="eastAsia" w:ascii="仿宋_GB2312" w:hAnsi="仿宋_GB2312" w:eastAsia="仿宋_GB2312" w:cs="仿宋_GB2312"/>
          <w:sz w:val="32"/>
          <w:szCs w:val="32"/>
        </w:rPr>
        <w:t>》（</w:t>
      </w:r>
      <w:r>
        <w:rPr>
          <w:rFonts w:ascii="仿宋_GB2312" w:hAnsi="仿宋_GB2312" w:eastAsia="仿宋_GB2312" w:cs="仿宋_GB2312"/>
          <w:sz w:val="32"/>
          <w:szCs w:val="32"/>
          <w:lang w:val="zh-CN"/>
        </w:rPr>
        <w:t>三财效〔202</w:t>
      </w:r>
      <w:r>
        <w:rPr>
          <w:rFonts w:hint="eastAsia" w:ascii="仿宋_GB2312" w:hAnsi="仿宋_GB2312" w:eastAsia="仿宋_GB2312" w:cs="仿宋_GB2312"/>
          <w:sz w:val="32"/>
          <w:szCs w:val="32"/>
          <w:lang w:val="en-US" w:eastAsia="zh-CN"/>
        </w:rPr>
        <w:t>2</w:t>
      </w:r>
      <w:r>
        <w:rPr>
          <w:rFonts w:ascii="仿宋_GB2312" w:hAnsi="仿宋_GB2312" w:eastAsia="仿宋_GB2312" w:cs="仿宋_GB2312"/>
          <w:sz w:val="32"/>
          <w:szCs w:val="32"/>
          <w:lang w:val="zh-CN"/>
        </w:rPr>
        <w:t>〕3号</w:t>
      </w:r>
      <w:r>
        <w:rPr>
          <w:rFonts w:hint="eastAsia" w:ascii="仿宋_GB2312" w:hAnsi="仿宋_GB2312" w:eastAsia="仿宋_GB2312" w:cs="仿宋_GB2312"/>
          <w:sz w:val="32"/>
          <w:szCs w:val="32"/>
        </w:rPr>
        <w:t>）相关要求：“</w:t>
      </w:r>
      <w:r>
        <w:rPr>
          <w:rFonts w:ascii="仿宋_GB2312" w:hAnsi="仿宋_GB2312" w:eastAsia="仿宋_GB2312" w:cs="仿宋_GB2312"/>
          <w:sz w:val="32"/>
          <w:szCs w:val="32"/>
          <w:lang w:val="zh-CN"/>
        </w:rPr>
        <w:t>绩效自评采取打分评价的形式，满分为100分，项目单位自评原则上一级指标分值统一设置为：产出指标50分、效益指标30分、服务对象满意度10分、预算资金执行率10分。</w:t>
      </w:r>
      <w:r>
        <w:rPr>
          <w:rFonts w:hint="eastAsia" w:ascii="仿宋_GB2312" w:hAnsi="仿宋_GB2312" w:eastAsia="仿宋_GB2312" w:cs="仿宋_GB2312"/>
          <w:sz w:val="32"/>
          <w:szCs w:val="32"/>
        </w:rPr>
        <w:t>”指标权重可根据指标的重要程度自主确定各项三级指标的权重分值，各项指标得分加总得出自评的总分。</w:t>
      </w:r>
    </w:p>
    <w:p>
      <w:pPr>
        <w:pStyle w:val="5"/>
        <w:keepNext w:val="0"/>
        <w:keepLines w:val="0"/>
        <w:adjustRightInd/>
        <w:snapToGrid/>
        <w:spacing w:before="0" w:after="0"/>
        <w:rPr>
          <w:rFonts w:ascii="黑体" w:hAnsi="黑体" w:eastAsia="黑体" w:cs="黑体"/>
          <w:sz w:val="30"/>
          <w:szCs w:val="30"/>
        </w:rPr>
      </w:pPr>
      <w:bookmarkStart w:id="44" w:name="_Toc15508"/>
      <w:bookmarkStart w:id="45" w:name="_Toc7828"/>
      <w:bookmarkStart w:id="46" w:name="_Toc16101"/>
      <w:bookmarkStart w:id="47" w:name="_Toc10949"/>
      <w:bookmarkStart w:id="48" w:name="_Toc18185"/>
      <w:r>
        <w:rPr>
          <w:rFonts w:hint="eastAsia" w:ascii="黑体" w:hAnsi="黑体" w:eastAsia="黑体" w:cs="黑体"/>
          <w:sz w:val="30"/>
          <w:szCs w:val="30"/>
        </w:rPr>
        <w:t>（五）绩效自评工作组织</w:t>
      </w:r>
      <w:bookmarkEnd w:id="44"/>
      <w:bookmarkEnd w:id="45"/>
      <w:bookmarkEnd w:id="46"/>
      <w:bookmarkEnd w:id="47"/>
      <w:bookmarkEnd w:id="48"/>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我单位依据《三门峡市财政局关于开展202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年度市级预算绩效自评工作的通知》（三财效〔202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〕3号）相关要求，由</w:t>
      </w:r>
      <w:r>
        <w:rPr>
          <w:rFonts w:hint="eastAsia" w:ascii="仿宋_GB2312" w:hAnsi="仿宋_GB2312" w:eastAsia="仿宋_GB2312" w:cs="仿宋_GB2312"/>
          <w:sz w:val="32"/>
          <w:szCs w:val="32"/>
          <w:lang w:eastAsia="zh-CN"/>
        </w:rPr>
        <w:t>相关业务科室</w:t>
      </w:r>
      <w:r>
        <w:rPr>
          <w:rFonts w:hint="eastAsia" w:ascii="仿宋_GB2312" w:hAnsi="仿宋_GB2312" w:eastAsia="仿宋_GB2312" w:cs="仿宋_GB2312"/>
          <w:sz w:val="32"/>
          <w:szCs w:val="32"/>
        </w:rPr>
        <w:t>根据具体项目指定专人配合进行自评。</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工作组主要工作内容有：</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1.召开自评会议，进行自评工作的统一部署并组织项目相关成员进行必要的政策法规学习；</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.组织有效的调查研究、查阅相关资料；</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.根据获取的资料，依照《项目支出绩效自评表》进行合理打分；</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.综合上述工作成果，撰写项目自评报告；</w:t>
      </w:r>
      <w:bookmarkStart w:id="72" w:name="_GoBack"/>
      <w:bookmarkEnd w:id="72"/>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.完成项目绩效评价相关政策所要求的其他事项；</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.发现问题，并落实整改。</w:t>
      </w:r>
    </w:p>
    <w:p>
      <w:pPr>
        <w:pStyle w:val="4"/>
        <w:keepNext w:val="0"/>
        <w:keepLines w:val="0"/>
        <w:spacing w:before="0" w:after="0" w:line="360" w:lineRule="auto"/>
        <w:rPr>
          <w:rFonts w:ascii="黑体" w:hAnsi="黑体" w:eastAsia="黑体" w:cs="黑体"/>
          <w:sz w:val="32"/>
          <w:szCs w:val="32"/>
          <w:lang w:val="zh-CN"/>
        </w:rPr>
      </w:pPr>
      <w:bookmarkStart w:id="49" w:name="_Toc12278"/>
      <w:bookmarkStart w:id="50" w:name="_Toc17646"/>
      <w:bookmarkStart w:id="51" w:name="_Toc2106"/>
      <w:bookmarkStart w:id="52" w:name="_Toc5171"/>
      <w:bookmarkStart w:id="53" w:name="_Toc16"/>
      <w:r>
        <w:rPr>
          <w:rFonts w:hint="eastAsia" w:ascii="黑体" w:hAnsi="黑体" w:eastAsia="黑体" w:cs="黑体"/>
          <w:sz w:val="32"/>
          <w:szCs w:val="32"/>
        </w:rPr>
        <w:t>三、</w:t>
      </w:r>
      <w:r>
        <w:rPr>
          <w:rFonts w:ascii="黑体" w:hAnsi="黑体" w:eastAsia="黑体" w:cs="黑体"/>
          <w:sz w:val="32"/>
          <w:szCs w:val="32"/>
          <w:lang w:val="zh-CN"/>
        </w:rPr>
        <w:t>单位自评结果</w:t>
      </w:r>
      <w:bookmarkEnd w:id="49"/>
      <w:bookmarkEnd w:id="50"/>
      <w:bookmarkEnd w:id="51"/>
      <w:bookmarkEnd w:id="52"/>
      <w:bookmarkEnd w:id="53"/>
    </w:p>
    <w:p>
      <w:pPr>
        <w:pStyle w:val="5"/>
        <w:keepNext w:val="0"/>
        <w:keepLines w:val="0"/>
        <w:adjustRightInd/>
        <w:snapToGrid/>
        <w:spacing w:before="0" w:after="0"/>
        <w:rPr>
          <w:rFonts w:ascii="黑体" w:hAnsi="黑体" w:eastAsia="黑体" w:cs="黑体"/>
          <w:sz w:val="30"/>
          <w:szCs w:val="30"/>
          <w:lang w:val="zh-CN"/>
        </w:rPr>
      </w:pPr>
      <w:bookmarkStart w:id="54" w:name="_Toc8066"/>
      <w:bookmarkStart w:id="55" w:name="_Toc22338"/>
      <w:bookmarkStart w:id="56" w:name="_Toc32649"/>
      <w:r>
        <w:rPr>
          <w:rFonts w:ascii="黑体" w:hAnsi="黑体" w:eastAsia="黑体" w:cs="黑体"/>
          <w:sz w:val="30"/>
          <w:szCs w:val="30"/>
          <w:lang w:val="zh-CN"/>
        </w:rPr>
        <w:t>（一）自评结果</w:t>
      </w:r>
      <w:bookmarkEnd w:id="54"/>
      <w:bookmarkEnd w:id="55"/>
      <w:bookmarkEnd w:id="56"/>
    </w:p>
    <w:p>
      <w:pPr>
        <w:spacing w:line="360" w:lineRule="auto"/>
        <w:ind w:firstLine="640" w:firstLineChars="200"/>
        <w:rPr>
          <w:rFonts w:ascii="仿宋_GB2312" w:hAnsi="仿宋_GB2312" w:eastAsia="仿宋_GB2312" w:cs="仿宋_GB2312"/>
          <w:sz w:val="32"/>
          <w:szCs w:val="32"/>
          <w:lang w:val="zh-CN"/>
        </w:rPr>
      </w:pPr>
      <w:r>
        <w:rPr>
          <w:rFonts w:ascii="仿宋_GB2312" w:hAnsi="仿宋_GB2312" w:eastAsia="仿宋_GB2312" w:cs="仿宋_GB2312"/>
          <w:sz w:val="32"/>
          <w:szCs w:val="32"/>
          <w:lang w:val="zh-CN"/>
        </w:rPr>
        <w:t>根据</w:t>
      </w:r>
      <w:r>
        <w:rPr>
          <w:rFonts w:hint="eastAsia" w:ascii="仿宋_GB2312" w:hAnsi="仿宋_GB2312" w:eastAsia="仿宋_GB2312" w:cs="仿宋_GB2312"/>
          <w:sz w:val="32"/>
          <w:szCs w:val="32"/>
        </w:rPr>
        <w:t>《三门峡市财政局关于开展202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年度市级预算绩效自评工作的通知》（三财效〔202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〕3号）</w:t>
      </w:r>
      <w:r>
        <w:rPr>
          <w:rFonts w:ascii="仿宋_GB2312" w:hAnsi="仿宋_GB2312" w:eastAsia="仿宋_GB2312" w:cs="仿宋_GB2312"/>
          <w:sz w:val="32"/>
          <w:szCs w:val="32"/>
          <w:lang w:val="zh-CN"/>
        </w:rPr>
        <w:t>相关规定，绩效评价结果实行百分制和四级分类，分别是：90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-100分为优、80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rPr>
        <w:t>90</w:t>
      </w:r>
      <w:r>
        <w:rPr>
          <w:rFonts w:ascii="仿宋_GB2312" w:hAnsi="仿宋_GB2312" w:eastAsia="仿宋_GB2312" w:cs="仿宋_GB2312"/>
          <w:sz w:val="32"/>
          <w:szCs w:val="32"/>
          <w:lang w:val="zh-CN"/>
        </w:rPr>
        <w:t>分为良、60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rPr>
        <w:t>80</w:t>
      </w:r>
      <w:r>
        <w:rPr>
          <w:rFonts w:ascii="仿宋_GB2312" w:hAnsi="仿宋_GB2312" w:eastAsia="仿宋_GB2312" w:cs="仿宋_GB2312"/>
          <w:sz w:val="32"/>
          <w:szCs w:val="32"/>
          <w:lang w:val="zh-CN"/>
        </w:rPr>
        <w:t>分为中、</w:t>
      </w:r>
      <w:r>
        <w:rPr>
          <w:rFonts w:hint="eastAsia" w:ascii="仿宋_GB2312" w:hAnsi="仿宋_GB2312" w:eastAsia="仿宋_GB2312" w:cs="仿宋_GB2312"/>
          <w:sz w:val="32"/>
          <w:szCs w:val="32"/>
        </w:rPr>
        <w:t>60</w:t>
      </w:r>
      <w:r>
        <w:rPr>
          <w:rFonts w:ascii="仿宋_GB2312" w:hAnsi="仿宋_GB2312" w:eastAsia="仿宋_GB2312" w:cs="仿宋_GB2312"/>
          <w:sz w:val="32"/>
          <w:szCs w:val="32"/>
          <w:lang w:val="zh-CN"/>
        </w:rPr>
        <w:t>分</w:t>
      </w:r>
      <w:r>
        <w:rPr>
          <w:rFonts w:hint="eastAsia" w:ascii="仿宋_GB2312" w:hAnsi="仿宋_GB2312" w:eastAsia="仿宋_GB2312" w:cs="仿宋_GB2312"/>
          <w:sz w:val="32"/>
          <w:szCs w:val="32"/>
        </w:rPr>
        <w:t>以下</w:t>
      </w:r>
      <w:r>
        <w:rPr>
          <w:rFonts w:ascii="仿宋_GB2312" w:hAnsi="仿宋_GB2312" w:eastAsia="仿宋_GB2312" w:cs="仿宋_GB2312"/>
          <w:sz w:val="32"/>
          <w:szCs w:val="32"/>
          <w:lang w:val="zh-CN"/>
        </w:rPr>
        <w:t>为差。</w:t>
      </w:r>
    </w:p>
    <w:p>
      <w:pPr>
        <w:spacing w:line="360" w:lineRule="auto"/>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我单位通过对本项目调查研究、座谈、查阅相关资料，根据相关政策要求进行打分，最终项目自评价得分为</w:t>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rPr>
        <w:t>分，评价结果为优。</w:t>
      </w:r>
    </w:p>
    <w:p>
      <w:pPr>
        <w:pStyle w:val="4"/>
        <w:keepNext w:val="0"/>
        <w:keepLines w:val="0"/>
        <w:numPr>
          <w:ilvl w:val="0"/>
          <w:numId w:val="2"/>
        </w:numPr>
        <w:spacing w:before="0" w:after="0" w:line="360" w:lineRule="auto"/>
        <w:rPr>
          <w:rFonts w:ascii="黑体" w:hAnsi="黑体" w:eastAsia="黑体" w:cs="黑体"/>
          <w:sz w:val="32"/>
          <w:szCs w:val="32"/>
          <w:lang w:val="zh-CN"/>
        </w:rPr>
      </w:pPr>
      <w:bookmarkStart w:id="57" w:name="_Toc11209"/>
      <w:bookmarkStart w:id="58" w:name="_Toc6497"/>
      <w:bookmarkStart w:id="59" w:name="_Toc29526"/>
      <w:r>
        <w:rPr>
          <w:rFonts w:ascii="黑体" w:hAnsi="黑体" w:eastAsia="黑体" w:cs="黑体"/>
          <w:sz w:val="32"/>
          <w:szCs w:val="32"/>
          <w:lang w:val="zh-CN"/>
        </w:rPr>
        <w:t>自评发现的问题及整改措施</w:t>
      </w:r>
      <w:bookmarkEnd w:id="57"/>
      <w:bookmarkEnd w:id="58"/>
      <w:bookmarkEnd w:id="59"/>
      <w:bookmarkStart w:id="60" w:name="_Toc9511"/>
      <w:bookmarkStart w:id="61" w:name="_Toc17190"/>
    </w:p>
    <w:bookmarkEnd w:id="60"/>
    <w:bookmarkEnd w:id="61"/>
    <w:p>
      <w:pPr>
        <w:spacing w:line="360" w:lineRule="auto"/>
        <w:ind w:firstLine="640" w:firstLineChars="200"/>
        <w:rPr>
          <w:rFonts w:ascii="仿宋_GB2312" w:hAnsi="仿宋_GB2312" w:eastAsia="仿宋_GB2312" w:cs="仿宋_GB2312"/>
          <w:sz w:val="32"/>
          <w:szCs w:val="32"/>
          <w:lang w:val="zh-CN"/>
        </w:rPr>
      </w:pPr>
      <w:bookmarkStart w:id="62" w:name="_Toc31923"/>
      <w:bookmarkStart w:id="63" w:name="_Toc19784"/>
      <w:bookmarkStart w:id="64" w:name="_Toc16509"/>
      <w:r>
        <w:rPr>
          <w:rFonts w:ascii="仿宋_GB2312" w:hAnsi="仿宋_GB2312" w:eastAsia="仿宋_GB2312" w:cs="仿宋_GB2312"/>
          <w:sz w:val="32"/>
          <w:szCs w:val="32"/>
          <w:lang w:val="zh-CN"/>
        </w:rPr>
        <w:t>发现的问题</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一是</w:t>
      </w:r>
      <w:r>
        <w:rPr>
          <w:rFonts w:hint="eastAsia" w:ascii="仿宋_GB2312" w:hAnsi="仿宋_GB2312" w:eastAsia="仿宋_GB2312" w:cs="仿宋_GB2312"/>
          <w:sz w:val="32"/>
          <w:szCs w:val="32"/>
          <w:lang w:val="zh-CN"/>
        </w:rPr>
        <w:t>因年初绩效目标指标填写不科学，思路不清晰，指标值设定不明确，导致自评表实际完成值填写不利于自评。</w:t>
      </w:r>
      <w:r>
        <w:rPr>
          <w:rFonts w:hint="eastAsia" w:ascii="仿宋_GB2312" w:hAnsi="仿宋_GB2312" w:eastAsia="仿宋_GB2312" w:cs="仿宋_GB2312"/>
          <w:sz w:val="32"/>
          <w:szCs w:val="32"/>
        </w:rPr>
        <w:t>二是</w:t>
      </w:r>
      <w:r>
        <w:rPr>
          <w:rFonts w:hint="eastAsia" w:ascii="仿宋_GB2312" w:hAnsi="仿宋_GB2312" w:eastAsia="仿宋_GB2312" w:cs="仿宋_GB2312"/>
          <w:sz w:val="32"/>
          <w:szCs w:val="32"/>
          <w:lang w:val="zh-CN"/>
        </w:rPr>
        <w:t>单位无完善的预算支出绩效评价办法和科学的指标体系以及专业人员，以提升预算绩效管理水平。</w:t>
      </w:r>
    </w:p>
    <w:p>
      <w:pPr>
        <w:spacing w:line="360" w:lineRule="auto"/>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整改措施：在今后将加强预算绩效管理，理顺工作机制，逐步提升人员预算绩效管理能力。</w:t>
      </w:r>
    </w:p>
    <w:p>
      <w:pPr>
        <w:pStyle w:val="4"/>
        <w:keepNext w:val="0"/>
        <w:keepLines w:val="0"/>
        <w:numPr>
          <w:ilvl w:val="0"/>
          <w:numId w:val="2"/>
        </w:numPr>
        <w:spacing w:before="0" w:after="0" w:line="360" w:lineRule="auto"/>
        <w:rPr>
          <w:rFonts w:ascii="黑体" w:hAnsi="黑体" w:eastAsia="黑体" w:cs="黑体"/>
          <w:sz w:val="32"/>
          <w:szCs w:val="32"/>
          <w:lang w:val="zh-CN"/>
        </w:rPr>
      </w:pPr>
      <w:r>
        <w:rPr>
          <w:rFonts w:ascii="黑体" w:hAnsi="黑体" w:eastAsia="黑体" w:cs="黑体"/>
          <w:sz w:val="32"/>
          <w:szCs w:val="32"/>
          <w:lang w:val="zh-CN"/>
        </w:rPr>
        <w:t>绩效自评工作建议及预算安排建议</w:t>
      </w:r>
      <w:bookmarkEnd w:id="62"/>
      <w:bookmarkEnd w:id="63"/>
      <w:bookmarkEnd w:id="64"/>
    </w:p>
    <w:p>
      <w:pPr>
        <w:pStyle w:val="13"/>
        <w:spacing w:beforeAutospacing="0" w:afterAutospacing="0"/>
        <w:ind w:firstLine="640" w:firstLineChars="200"/>
        <w:rPr>
          <w:rFonts w:ascii="仿宋_GB2312" w:hAnsi="仿宋_GB2312" w:eastAsia="仿宋_GB2312" w:cs="仿宋_GB2312"/>
          <w:kern w:val="2"/>
          <w:sz w:val="32"/>
          <w:szCs w:val="32"/>
          <w:lang w:val="zh-CN"/>
        </w:rPr>
      </w:pPr>
      <w:bookmarkStart w:id="65" w:name="_Toc7334"/>
      <w:bookmarkStart w:id="66" w:name="_Toc4014"/>
      <w:bookmarkStart w:id="67" w:name="_Toc6756"/>
      <w:r>
        <w:rPr>
          <w:rFonts w:hint="eastAsia" w:ascii="仿宋_GB2312" w:hAnsi="仿宋_GB2312" w:eastAsia="仿宋_GB2312" w:cs="仿宋_GB2312"/>
          <w:kern w:val="2"/>
          <w:sz w:val="32"/>
          <w:szCs w:val="32"/>
          <w:lang w:val="zh-CN"/>
        </w:rPr>
        <w:t>（一）重视绩效管理工作。要高度重视预算绩效管理工作，认真学习全过程预算绩效管理知识，将其与部门项目和具体工作结合起来。财务人员要强化牵头作用，加强统筹协调，业务科室要积极配合财务部门工作，提供绩效管理的各项资料，形成预算绩效管理的合力。</w:t>
      </w:r>
    </w:p>
    <w:p>
      <w:pPr>
        <w:pStyle w:val="13"/>
        <w:spacing w:beforeAutospacing="0" w:afterAutospacing="0"/>
        <w:ind w:firstLine="480"/>
        <w:rPr>
          <w:rFonts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lang w:val="zh-CN"/>
        </w:rPr>
        <w:t>（二）规范绩效目标编制。绩效目标是做好绩效评价等各项预算绩效管理的工作基础。各部门编制预算时要紧紧围绕区委、区政府各项决策部署，分解细化各项工作要求，科学设置绩效目标和相关指标，加强绩效目标审核，提升绩效目标编制质量。建议各部门根据行业特点统一设置绩效目标模板和个性化绩效指标库，规范绩效目标编制。</w:t>
      </w:r>
    </w:p>
    <w:p>
      <w:pPr>
        <w:pStyle w:val="13"/>
        <w:spacing w:beforeAutospacing="0" w:afterAutospacing="0"/>
        <w:ind w:firstLine="480"/>
        <w:rPr>
          <w:rFonts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lang w:val="zh-CN"/>
        </w:rPr>
        <w:t>（三）加强评价结果应用。项目支出绩效评价结果将作为下年度部门预算安排的重要参考。各部门要对照</w:t>
      </w:r>
      <w:r>
        <w:rPr>
          <w:rFonts w:hint="eastAsia" w:ascii="仿宋_GB2312" w:hAnsi="仿宋_GB2312" w:eastAsia="仿宋_GB2312" w:cs="仿宋_GB2312"/>
          <w:kern w:val="2"/>
          <w:sz w:val="32"/>
          <w:szCs w:val="32"/>
        </w:rPr>
        <w:t>2020</w:t>
      </w:r>
      <w:r>
        <w:rPr>
          <w:rFonts w:hint="eastAsia" w:ascii="仿宋_GB2312" w:hAnsi="仿宋_GB2312" w:eastAsia="仿宋_GB2312" w:cs="仿宋_GB2312"/>
          <w:kern w:val="2"/>
          <w:sz w:val="32"/>
          <w:szCs w:val="32"/>
          <w:lang w:val="zh-CN"/>
        </w:rPr>
        <w:t>年绩效评价中发现的问题认真总结，积极整改，并举一反三抓好下年绩效评价和预算绩效目标编报工作。</w:t>
      </w:r>
    </w:p>
    <w:p>
      <w:pPr>
        <w:pStyle w:val="4"/>
        <w:keepNext w:val="0"/>
        <w:keepLines w:val="0"/>
        <w:numPr>
          <w:ilvl w:val="0"/>
          <w:numId w:val="3"/>
        </w:numPr>
        <w:spacing w:before="0" w:after="0" w:line="360" w:lineRule="auto"/>
        <w:rPr>
          <w:rFonts w:ascii="黑体" w:hAnsi="黑体" w:eastAsia="黑体" w:cs="黑体"/>
          <w:sz w:val="32"/>
          <w:szCs w:val="32"/>
          <w:lang w:val="zh-CN"/>
        </w:rPr>
      </w:pPr>
      <w:r>
        <w:rPr>
          <w:rFonts w:ascii="黑体" w:hAnsi="黑体" w:eastAsia="黑体" w:cs="黑体"/>
          <w:sz w:val="32"/>
          <w:szCs w:val="32"/>
          <w:lang w:val="zh-CN"/>
        </w:rPr>
        <w:t>其他需要说明的问题</w:t>
      </w:r>
      <w:bookmarkEnd w:id="65"/>
      <w:bookmarkEnd w:id="66"/>
      <w:bookmarkEnd w:id="67"/>
    </w:p>
    <w:p>
      <w:pPr>
        <w:pStyle w:val="13"/>
        <w:spacing w:beforeAutospacing="0" w:afterAutospacing="0"/>
        <w:ind w:firstLine="480"/>
        <w:rPr>
          <w:rFonts w:ascii="仿宋_GB2312" w:hAnsi="仿宋_GB2312" w:eastAsia="仿宋_GB2312" w:cs="仿宋_GB2312"/>
          <w:kern w:val="2"/>
          <w:sz w:val="32"/>
          <w:szCs w:val="32"/>
          <w:lang w:val="zh-CN"/>
        </w:rPr>
      </w:pPr>
      <w:bookmarkStart w:id="68" w:name="_Toc10246"/>
      <w:bookmarkStart w:id="69" w:name="_Toc32568"/>
      <w:r>
        <w:rPr>
          <w:rFonts w:hint="eastAsia" w:ascii="仿宋_GB2312" w:hAnsi="仿宋_GB2312" w:eastAsia="仿宋_GB2312" w:cs="仿宋_GB2312"/>
          <w:kern w:val="2"/>
          <w:sz w:val="32"/>
          <w:szCs w:val="32"/>
          <w:lang w:val="zh-CN"/>
        </w:rPr>
        <w:t>需要说明的是：受多种因素影响，部分指标值难以考察取证</w:t>
      </w:r>
      <w:bookmarkEnd w:id="68"/>
      <w:bookmarkStart w:id="70" w:name="_Toc12241"/>
      <w:bookmarkStart w:id="71" w:name="_Toc7176"/>
      <w:r>
        <w:rPr>
          <w:rFonts w:hint="eastAsia" w:ascii="仿宋_GB2312" w:hAnsi="仿宋_GB2312" w:eastAsia="仿宋_GB2312" w:cs="仿宋_GB2312"/>
          <w:kern w:val="2"/>
          <w:sz w:val="32"/>
          <w:szCs w:val="32"/>
          <w:lang w:val="zh-CN"/>
        </w:rPr>
        <w:t>。</w:t>
      </w:r>
      <w:bookmarkEnd w:id="69"/>
    </w:p>
    <w:bookmarkEnd w:id="70"/>
    <w:bookmarkEnd w:id="71"/>
    <w:p/>
    <w:sectPr>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微软雅黑"/>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0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84B2E0"/>
    <w:multiLevelType w:val="singleLevel"/>
    <w:tmpl w:val="C784B2E0"/>
    <w:lvl w:ilvl="0" w:tentative="0">
      <w:start w:val="4"/>
      <w:numFmt w:val="chineseCounting"/>
      <w:suff w:val="nothing"/>
      <w:lvlText w:val="%1、"/>
      <w:lvlJc w:val="left"/>
      <w:rPr>
        <w:rFonts w:hint="eastAsia"/>
      </w:rPr>
    </w:lvl>
  </w:abstractNum>
  <w:abstractNum w:abstractNumId="1">
    <w:nsid w:val="751F6C6A"/>
    <w:multiLevelType w:val="singleLevel"/>
    <w:tmpl w:val="751F6C6A"/>
    <w:lvl w:ilvl="0" w:tentative="0">
      <w:start w:val="2"/>
      <w:numFmt w:val="chineseCounting"/>
      <w:suff w:val="nothing"/>
      <w:lvlText w:val="（%1）"/>
      <w:lvlJc w:val="left"/>
      <w:rPr>
        <w:rFonts w:hint="eastAsia"/>
      </w:rPr>
    </w:lvl>
  </w:abstractNum>
  <w:abstractNum w:abstractNumId="2">
    <w:nsid w:val="7B5CFF8A"/>
    <w:multiLevelType w:val="singleLevel"/>
    <w:tmpl w:val="7B5CFF8A"/>
    <w:lvl w:ilvl="0" w:tentative="0">
      <w:start w:val="6"/>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4C3340"/>
    <w:rsid w:val="0055721E"/>
    <w:rsid w:val="006225BA"/>
    <w:rsid w:val="008001E9"/>
    <w:rsid w:val="00A24EF9"/>
    <w:rsid w:val="00D403CC"/>
    <w:rsid w:val="01CD24AB"/>
    <w:rsid w:val="01D11DD0"/>
    <w:rsid w:val="03687896"/>
    <w:rsid w:val="03A74472"/>
    <w:rsid w:val="03CF39B3"/>
    <w:rsid w:val="03E3527A"/>
    <w:rsid w:val="03FB180A"/>
    <w:rsid w:val="0475434D"/>
    <w:rsid w:val="04E85A96"/>
    <w:rsid w:val="05310285"/>
    <w:rsid w:val="05E94B02"/>
    <w:rsid w:val="06022C39"/>
    <w:rsid w:val="06241739"/>
    <w:rsid w:val="06403200"/>
    <w:rsid w:val="067D4911"/>
    <w:rsid w:val="06CD2CAD"/>
    <w:rsid w:val="06D44DB6"/>
    <w:rsid w:val="073C001E"/>
    <w:rsid w:val="076D7ABD"/>
    <w:rsid w:val="07EC720E"/>
    <w:rsid w:val="09517008"/>
    <w:rsid w:val="09520821"/>
    <w:rsid w:val="0ABA5DFE"/>
    <w:rsid w:val="0B0A783A"/>
    <w:rsid w:val="0B714783"/>
    <w:rsid w:val="0BA212E3"/>
    <w:rsid w:val="0BDB688F"/>
    <w:rsid w:val="0BE44AD7"/>
    <w:rsid w:val="0C1D2D9B"/>
    <w:rsid w:val="0C2B3B54"/>
    <w:rsid w:val="0D5B101A"/>
    <w:rsid w:val="0D627B14"/>
    <w:rsid w:val="0DAC117D"/>
    <w:rsid w:val="0DC63D28"/>
    <w:rsid w:val="0E00771B"/>
    <w:rsid w:val="0E243570"/>
    <w:rsid w:val="0E9C42BC"/>
    <w:rsid w:val="0EDC6DE7"/>
    <w:rsid w:val="0EF760A8"/>
    <w:rsid w:val="0EFC1176"/>
    <w:rsid w:val="0F0A5349"/>
    <w:rsid w:val="0F386323"/>
    <w:rsid w:val="100C1C87"/>
    <w:rsid w:val="102A6D5E"/>
    <w:rsid w:val="10403E70"/>
    <w:rsid w:val="11181DA8"/>
    <w:rsid w:val="114558BD"/>
    <w:rsid w:val="11BE372B"/>
    <w:rsid w:val="11D94FBF"/>
    <w:rsid w:val="11DF7AA5"/>
    <w:rsid w:val="11EC2F93"/>
    <w:rsid w:val="121E4775"/>
    <w:rsid w:val="13326DFA"/>
    <w:rsid w:val="13663A30"/>
    <w:rsid w:val="13A84A9A"/>
    <w:rsid w:val="13C60661"/>
    <w:rsid w:val="14135BEE"/>
    <w:rsid w:val="142A71C6"/>
    <w:rsid w:val="143049A4"/>
    <w:rsid w:val="1441546C"/>
    <w:rsid w:val="14AC70A9"/>
    <w:rsid w:val="14BD44C7"/>
    <w:rsid w:val="14DE3D76"/>
    <w:rsid w:val="1512287B"/>
    <w:rsid w:val="15446D6C"/>
    <w:rsid w:val="155B3210"/>
    <w:rsid w:val="15C00483"/>
    <w:rsid w:val="15C71E5A"/>
    <w:rsid w:val="15EB0E81"/>
    <w:rsid w:val="15F135FB"/>
    <w:rsid w:val="16A86570"/>
    <w:rsid w:val="16AE21AA"/>
    <w:rsid w:val="16AE72D0"/>
    <w:rsid w:val="16DC0A8D"/>
    <w:rsid w:val="178B4BED"/>
    <w:rsid w:val="17A009E3"/>
    <w:rsid w:val="18074165"/>
    <w:rsid w:val="18180FA8"/>
    <w:rsid w:val="18570359"/>
    <w:rsid w:val="186944EF"/>
    <w:rsid w:val="19357C12"/>
    <w:rsid w:val="196138D2"/>
    <w:rsid w:val="19953697"/>
    <w:rsid w:val="19BA43E3"/>
    <w:rsid w:val="1A4450BF"/>
    <w:rsid w:val="1AC12C79"/>
    <w:rsid w:val="1ACA6D53"/>
    <w:rsid w:val="1ADF6535"/>
    <w:rsid w:val="1AF11A8C"/>
    <w:rsid w:val="1B7911A5"/>
    <w:rsid w:val="1B8B0E1E"/>
    <w:rsid w:val="1BFD0F60"/>
    <w:rsid w:val="1C29383C"/>
    <w:rsid w:val="1C48271E"/>
    <w:rsid w:val="1D47313A"/>
    <w:rsid w:val="1D676463"/>
    <w:rsid w:val="1D965B6F"/>
    <w:rsid w:val="1DC41A36"/>
    <w:rsid w:val="1DFC4D2D"/>
    <w:rsid w:val="1E216956"/>
    <w:rsid w:val="1E7C7AF5"/>
    <w:rsid w:val="1EA51E7C"/>
    <w:rsid w:val="1EC01BD4"/>
    <w:rsid w:val="1F3A1FDC"/>
    <w:rsid w:val="1F6E60BF"/>
    <w:rsid w:val="1FA65F70"/>
    <w:rsid w:val="1FFB2D1C"/>
    <w:rsid w:val="20E32BEF"/>
    <w:rsid w:val="212C46B1"/>
    <w:rsid w:val="21ED3453"/>
    <w:rsid w:val="21EE6A3C"/>
    <w:rsid w:val="22715B15"/>
    <w:rsid w:val="23AC70BE"/>
    <w:rsid w:val="24033141"/>
    <w:rsid w:val="25795502"/>
    <w:rsid w:val="25AB5C72"/>
    <w:rsid w:val="266D3B8D"/>
    <w:rsid w:val="2673135B"/>
    <w:rsid w:val="274970C1"/>
    <w:rsid w:val="288C42DB"/>
    <w:rsid w:val="28F0490E"/>
    <w:rsid w:val="29C70F23"/>
    <w:rsid w:val="2B147896"/>
    <w:rsid w:val="2B25139B"/>
    <w:rsid w:val="2B424556"/>
    <w:rsid w:val="2B931B2E"/>
    <w:rsid w:val="2CC11655"/>
    <w:rsid w:val="2CF66F3B"/>
    <w:rsid w:val="2D96497A"/>
    <w:rsid w:val="2DFC3ABA"/>
    <w:rsid w:val="2E3B1D53"/>
    <w:rsid w:val="2E874CFC"/>
    <w:rsid w:val="2EA23232"/>
    <w:rsid w:val="2ED70AD7"/>
    <w:rsid w:val="2F4D5996"/>
    <w:rsid w:val="2F7A178E"/>
    <w:rsid w:val="2FDE5397"/>
    <w:rsid w:val="2FE81E08"/>
    <w:rsid w:val="2FE87747"/>
    <w:rsid w:val="30593884"/>
    <w:rsid w:val="308527DF"/>
    <w:rsid w:val="3088385B"/>
    <w:rsid w:val="30B9326C"/>
    <w:rsid w:val="311C6D31"/>
    <w:rsid w:val="318B0952"/>
    <w:rsid w:val="31DF7CC7"/>
    <w:rsid w:val="31FD63AA"/>
    <w:rsid w:val="3229235E"/>
    <w:rsid w:val="3229411A"/>
    <w:rsid w:val="322D471F"/>
    <w:rsid w:val="32870C13"/>
    <w:rsid w:val="32A96FB4"/>
    <w:rsid w:val="32C318DF"/>
    <w:rsid w:val="33481B81"/>
    <w:rsid w:val="335509C7"/>
    <w:rsid w:val="34801387"/>
    <w:rsid w:val="35323F4D"/>
    <w:rsid w:val="35F5341F"/>
    <w:rsid w:val="36322AA8"/>
    <w:rsid w:val="364D7507"/>
    <w:rsid w:val="36853699"/>
    <w:rsid w:val="36E21CD4"/>
    <w:rsid w:val="36F95D7D"/>
    <w:rsid w:val="37113F81"/>
    <w:rsid w:val="383E476D"/>
    <w:rsid w:val="38587408"/>
    <w:rsid w:val="38774D48"/>
    <w:rsid w:val="388935B8"/>
    <w:rsid w:val="38CC5ED8"/>
    <w:rsid w:val="3902565F"/>
    <w:rsid w:val="39694146"/>
    <w:rsid w:val="3B70590B"/>
    <w:rsid w:val="3B837370"/>
    <w:rsid w:val="3B8E0BEC"/>
    <w:rsid w:val="3C1259C9"/>
    <w:rsid w:val="3C21355B"/>
    <w:rsid w:val="3C9B0FCA"/>
    <w:rsid w:val="3D162FD9"/>
    <w:rsid w:val="3D606B02"/>
    <w:rsid w:val="3DB053D5"/>
    <w:rsid w:val="3DBB4886"/>
    <w:rsid w:val="3DEA26E4"/>
    <w:rsid w:val="3E873D85"/>
    <w:rsid w:val="3EE01EF4"/>
    <w:rsid w:val="3FB217B8"/>
    <w:rsid w:val="3FC65CE4"/>
    <w:rsid w:val="3FFD4C51"/>
    <w:rsid w:val="404D4025"/>
    <w:rsid w:val="408D3727"/>
    <w:rsid w:val="40F2114B"/>
    <w:rsid w:val="4162246E"/>
    <w:rsid w:val="418E58D9"/>
    <w:rsid w:val="419E0086"/>
    <w:rsid w:val="41B94BAA"/>
    <w:rsid w:val="41B94E6B"/>
    <w:rsid w:val="41BA54AD"/>
    <w:rsid w:val="41DA5F81"/>
    <w:rsid w:val="426274DE"/>
    <w:rsid w:val="43764E9B"/>
    <w:rsid w:val="438F1213"/>
    <w:rsid w:val="43EF7CB6"/>
    <w:rsid w:val="441214EF"/>
    <w:rsid w:val="44A76620"/>
    <w:rsid w:val="44C9039D"/>
    <w:rsid w:val="45A21C1C"/>
    <w:rsid w:val="45DB5816"/>
    <w:rsid w:val="463955F5"/>
    <w:rsid w:val="467F19D6"/>
    <w:rsid w:val="46F53775"/>
    <w:rsid w:val="470B471F"/>
    <w:rsid w:val="47237B65"/>
    <w:rsid w:val="475C1AA9"/>
    <w:rsid w:val="47671005"/>
    <w:rsid w:val="47AC6349"/>
    <w:rsid w:val="47B41DDF"/>
    <w:rsid w:val="47B9772E"/>
    <w:rsid w:val="47EA4F22"/>
    <w:rsid w:val="48316427"/>
    <w:rsid w:val="487A1FC6"/>
    <w:rsid w:val="491C4AEB"/>
    <w:rsid w:val="492B5C25"/>
    <w:rsid w:val="49395B00"/>
    <w:rsid w:val="496C68DE"/>
    <w:rsid w:val="4A257AB1"/>
    <w:rsid w:val="4A5C7F26"/>
    <w:rsid w:val="4ABA4758"/>
    <w:rsid w:val="4AFF07C1"/>
    <w:rsid w:val="4C2B3CBB"/>
    <w:rsid w:val="4D656886"/>
    <w:rsid w:val="4DCD728F"/>
    <w:rsid w:val="4E1229E8"/>
    <w:rsid w:val="4EE84F7D"/>
    <w:rsid w:val="4F261EF2"/>
    <w:rsid w:val="4F3F1FEB"/>
    <w:rsid w:val="508005C7"/>
    <w:rsid w:val="50963008"/>
    <w:rsid w:val="50D26009"/>
    <w:rsid w:val="512F199A"/>
    <w:rsid w:val="515E556F"/>
    <w:rsid w:val="51CE5D14"/>
    <w:rsid w:val="51F91D10"/>
    <w:rsid w:val="521774C0"/>
    <w:rsid w:val="523F7E77"/>
    <w:rsid w:val="52620A86"/>
    <w:rsid w:val="526A022B"/>
    <w:rsid w:val="52942ED4"/>
    <w:rsid w:val="52FE679A"/>
    <w:rsid w:val="53635160"/>
    <w:rsid w:val="53EE5D8A"/>
    <w:rsid w:val="53F02BBD"/>
    <w:rsid w:val="54087C43"/>
    <w:rsid w:val="54151AB3"/>
    <w:rsid w:val="547C2982"/>
    <w:rsid w:val="54D12A5B"/>
    <w:rsid w:val="553A3D22"/>
    <w:rsid w:val="553D7376"/>
    <w:rsid w:val="555C7E27"/>
    <w:rsid w:val="56EA0736"/>
    <w:rsid w:val="56F72425"/>
    <w:rsid w:val="56F94133"/>
    <w:rsid w:val="570730E6"/>
    <w:rsid w:val="573D02BD"/>
    <w:rsid w:val="57546843"/>
    <w:rsid w:val="57D22477"/>
    <w:rsid w:val="581B3AC4"/>
    <w:rsid w:val="58270281"/>
    <w:rsid w:val="58836238"/>
    <w:rsid w:val="589165CD"/>
    <w:rsid w:val="589247BF"/>
    <w:rsid w:val="58BF2BBA"/>
    <w:rsid w:val="58C3256A"/>
    <w:rsid w:val="58C80F7B"/>
    <w:rsid w:val="58C87B84"/>
    <w:rsid w:val="58E24971"/>
    <w:rsid w:val="59964EC4"/>
    <w:rsid w:val="59CA1E32"/>
    <w:rsid w:val="5A9D143D"/>
    <w:rsid w:val="5AE66300"/>
    <w:rsid w:val="5AEB797A"/>
    <w:rsid w:val="5BA34E14"/>
    <w:rsid w:val="5BBA585B"/>
    <w:rsid w:val="5BF472B6"/>
    <w:rsid w:val="5C9E6E6F"/>
    <w:rsid w:val="5CC9121A"/>
    <w:rsid w:val="5D2A03F6"/>
    <w:rsid w:val="5DAE6520"/>
    <w:rsid w:val="5DB30328"/>
    <w:rsid w:val="5DCF0D9F"/>
    <w:rsid w:val="5E250CB8"/>
    <w:rsid w:val="5E370097"/>
    <w:rsid w:val="5E3D49B5"/>
    <w:rsid w:val="5E6922B4"/>
    <w:rsid w:val="5E9667BD"/>
    <w:rsid w:val="5E9A744B"/>
    <w:rsid w:val="5EAB68AB"/>
    <w:rsid w:val="5ED446B1"/>
    <w:rsid w:val="5EF73BE2"/>
    <w:rsid w:val="5F3D3065"/>
    <w:rsid w:val="608A1152"/>
    <w:rsid w:val="608B20EF"/>
    <w:rsid w:val="60967BC8"/>
    <w:rsid w:val="609D521D"/>
    <w:rsid w:val="61382481"/>
    <w:rsid w:val="61897905"/>
    <w:rsid w:val="61BF196A"/>
    <w:rsid w:val="61F11689"/>
    <w:rsid w:val="61F873E4"/>
    <w:rsid w:val="62600656"/>
    <w:rsid w:val="62A44963"/>
    <w:rsid w:val="631349E3"/>
    <w:rsid w:val="631E05FA"/>
    <w:rsid w:val="63436BA2"/>
    <w:rsid w:val="634376F7"/>
    <w:rsid w:val="63815095"/>
    <w:rsid w:val="63D85F0D"/>
    <w:rsid w:val="658646FA"/>
    <w:rsid w:val="65900A51"/>
    <w:rsid w:val="659C3396"/>
    <w:rsid w:val="65FC37D4"/>
    <w:rsid w:val="665935D9"/>
    <w:rsid w:val="66DA6564"/>
    <w:rsid w:val="677A24B6"/>
    <w:rsid w:val="67A71D06"/>
    <w:rsid w:val="67C96F99"/>
    <w:rsid w:val="68503E83"/>
    <w:rsid w:val="68781637"/>
    <w:rsid w:val="687A78F9"/>
    <w:rsid w:val="68CE1443"/>
    <w:rsid w:val="69124FDF"/>
    <w:rsid w:val="69901EC0"/>
    <w:rsid w:val="69CA49FB"/>
    <w:rsid w:val="6A043746"/>
    <w:rsid w:val="6A5357A1"/>
    <w:rsid w:val="6A78052C"/>
    <w:rsid w:val="6A875334"/>
    <w:rsid w:val="6A884503"/>
    <w:rsid w:val="6AC5360B"/>
    <w:rsid w:val="6ADF0274"/>
    <w:rsid w:val="6AFC6911"/>
    <w:rsid w:val="6B1B61E1"/>
    <w:rsid w:val="6B206B79"/>
    <w:rsid w:val="6B370ACA"/>
    <w:rsid w:val="6B8F16DB"/>
    <w:rsid w:val="6BC85164"/>
    <w:rsid w:val="6BFB6BCB"/>
    <w:rsid w:val="6C842205"/>
    <w:rsid w:val="6D225641"/>
    <w:rsid w:val="6E0B664E"/>
    <w:rsid w:val="6E722F0C"/>
    <w:rsid w:val="6E8225F1"/>
    <w:rsid w:val="6EBC6C2D"/>
    <w:rsid w:val="6F472C16"/>
    <w:rsid w:val="6F9718E7"/>
    <w:rsid w:val="6FD05487"/>
    <w:rsid w:val="70862B44"/>
    <w:rsid w:val="70C3452F"/>
    <w:rsid w:val="71356FE0"/>
    <w:rsid w:val="718805D0"/>
    <w:rsid w:val="72CC0D0F"/>
    <w:rsid w:val="730B56A5"/>
    <w:rsid w:val="731E1707"/>
    <w:rsid w:val="73C72D5A"/>
    <w:rsid w:val="73F551D4"/>
    <w:rsid w:val="743C7925"/>
    <w:rsid w:val="7449202E"/>
    <w:rsid w:val="74A72714"/>
    <w:rsid w:val="74ED7A64"/>
    <w:rsid w:val="74F22980"/>
    <w:rsid w:val="754822C9"/>
    <w:rsid w:val="7549328A"/>
    <w:rsid w:val="757E669A"/>
    <w:rsid w:val="75A17EFA"/>
    <w:rsid w:val="765561D3"/>
    <w:rsid w:val="767F3925"/>
    <w:rsid w:val="76E55379"/>
    <w:rsid w:val="772050C3"/>
    <w:rsid w:val="773D4564"/>
    <w:rsid w:val="776948CD"/>
    <w:rsid w:val="77C57565"/>
    <w:rsid w:val="77F814DF"/>
    <w:rsid w:val="78287332"/>
    <w:rsid w:val="78746F95"/>
    <w:rsid w:val="78B6314A"/>
    <w:rsid w:val="79181E93"/>
    <w:rsid w:val="7921275B"/>
    <w:rsid w:val="79905BFC"/>
    <w:rsid w:val="79E41632"/>
    <w:rsid w:val="7A1B50D0"/>
    <w:rsid w:val="7A3D329F"/>
    <w:rsid w:val="7A620D4B"/>
    <w:rsid w:val="7A9E7695"/>
    <w:rsid w:val="7AA11E6E"/>
    <w:rsid w:val="7AA60219"/>
    <w:rsid w:val="7B71655A"/>
    <w:rsid w:val="7B8168E2"/>
    <w:rsid w:val="7C745F09"/>
    <w:rsid w:val="7CA377F5"/>
    <w:rsid w:val="7D2726CD"/>
    <w:rsid w:val="7D2F6FEA"/>
    <w:rsid w:val="7D347EF8"/>
    <w:rsid w:val="7DA906F6"/>
    <w:rsid w:val="7E7D369D"/>
    <w:rsid w:val="7EBE117D"/>
    <w:rsid w:val="7EC22AF7"/>
    <w:rsid w:val="7F442C7A"/>
    <w:rsid w:val="7FCA4AA4"/>
    <w:rsid w:val="7FD77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5"/>
    <w:qFormat/>
    <w:uiPriority w:val="0"/>
    <w:pPr>
      <w:keepNext/>
      <w:keepLines/>
      <w:spacing w:before="340" w:after="330" w:line="576" w:lineRule="auto"/>
      <w:outlineLvl w:val="0"/>
    </w:pPr>
    <w:rPr>
      <w:b/>
      <w:kern w:val="44"/>
      <w:sz w:val="44"/>
    </w:rPr>
  </w:style>
  <w:style w:type="paragraph" w:styleId="5">
    <w:name w:val="heading 2"/>
    <w:basedOn w:val="1"/>
    <w:next w:val="6"/>
    <w:link w:val="22"/>
    <w:unhideWhenUsed/>
    <w:qFormat/>
    <w:uiPriority w:val="0"/>
    <w:pPr>
      <w:keepNext/>
      <w:keepLines/>
      <w:adjustRightInd w:val="0"/>
      <w:snapToGrid w:val="0"/>
      <w:spacing w:before="100" w:after="100" w:line="360" w:lineRule="auto"/>
      <w:outlineLvl w:val="1"/>
    </w:pPr>
    <w:rPr>
      <w:rFonts w:ascii="Times New Roman" w:hAnsi="Times New Roman" w:eastAsia="仿宋" w:cs="Times New Roman"/>
      <w:b/>
      <w:sz w:val="32"/>
      <w:szCs w:val="32"/>
    </w:rPr>
  </w:style>
  <w:style w:type="paragraph" w:styleId="6">
    <w:name w:val="heading 3"/>
    <w:basedOn w:val="1"/>
    <w:next w:val="1"/>
    <w:unhideWhenUsed/>
    <w:qFormat/>
    <w:uiPriority w:val="0"/>
    <w:pPr>
      <w:keepNext/>
      <w:keepLines/>
      <w:adjustRightInd w:val="0"/>
      <w:snapToGrid w:val="0"/>
      <w:spacing w:before="100" w:after="100" w:line="360" w:lineRule="auto"/>
      <w:ind w:firstLine="560" w:firstLineChars="200"/>
      <w:outlineLvl w:val="2"/>
    </w:pPr>
    <w:rPr>
      <w:rFonts w:ascii="Times New Roman" w:hAnsi="Times New Roman" w:eastAsia="仿宋" w:cs="Times New Roman"/>
      <w:b/>
      <w:sz w:val="30"/>
      <w:szCs w:val="30"/>
    </w:rPr>
  </w:style>
  <w:style w:type="paragraph" w:styleId="7">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2"/>
    <w:basedOn w:val="1"/>
    <w:qFormat/>
    <w:uiPriority w:val="0"/>
    <w:pPr>
      <w:spacing w:after="120" w:line="480" w:lineRule="auto"/>
    </w:pPr>
  </w:style>
  <w:style w:type="paragraph" w:styleId="8">
    <w:name w:val="annotation text"/>
    <w:basedOn w:val="1"/>
    <w:qFormat/>
    <w:uiPriority w:val="0"/>
    <w:pPr>
      <w:jc w:val="left"/>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qFormat/>
    <w:uiPriority w:val="0"/>
    <w:pPr>
      <w:spacing w:beforeAutospacing="1" w:afterAutospacing="1"/>
      <w:jc w:val="left"/>
    </w:pPr>
    <w:rPr>
      <w:rFonts w:cs="Times New Roman"/>
      <w:kern w:val="0"/>
      <w:sz w:val="24"/>
    </w:rPr>
  </w:style>
  <w:style w:type="paragraph" w:styleId="14">
    <w:name w:val="Body Text First Indent"/>
    <w:basedOn w:val="2"/>
    <w:qFormat/>
    <w:uiPriority w:val="0"/>
    <w:pPr>
      <w:ind w:firstLine="420" w:firstLineChars="100"/>
    </w:pPr>
  </w:style>
  <w:style w:type="table" w:styleId="16">
    <w:name w:val="Table Grid"/>
    <w:basedOn w:val="1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styleId="19">
    <w:name w:val="FollowedHyperlink"/>
    <w:basedOn w:val="17"/>
    <w:qFormat/>
    <w:uiPriority w:val="0"/>
    <w:rPr>
      <w:color w:val="434343"/>
      <w:u w:val="none"/>
    </w:rPr>
  </w:style>
  <w:style w:type="character" w:styleId="20">
    <w:name w:val="Emphasis"/>
    <w:basedOn w:val="17"/>
    <w:qFormat/>
    <w:uiPriority w:val="0"/>
  </w:style>
  <w:style w:type="character" w:styleId="21">
    <w:name w:val="Hyperlink"/>
    <w:basedOn w:val="17"/>
    <w:qFormat/>
    <w:uiPriority w:val="0"/>
    <w:rPr>
      <w:color w:val="434343"/>
      <w:u w:val="none"/>
    </w:rPr>
  </w:style>
  <w:style w:type="character" w:customStyle="1" w:styleId="22">
    <w:name w:val="标题 2 字符"/>
    <w:link w:val="5"/>
    <w:qFormat/>
    <w:uiPriority w:val="9"/>
    <w:rPr>
      <w:rFonts w:ascii="Times New Roman" w:hAnsi="Times New Roman" w:eastAsia="仿宋" w:cs="Times New Roman"/>
      <w:b/>
      <w:sz w:val="32"/>
      <w:szCs w:val="32"/>
    </w:rPr>
  </w:style>
  <w:style w:type="character" w:customStyle="1" w:styleId="23">
    <w:name w:val="font21"/>
    <w:basedOn w:val="17"/>
    <w:qFormat/>
    <w:uiPriority w:val="0"/>
    <w:rPr>
      <w:rFonts w:hint="eastAsia" w:ascii="黑体" w:hAnsi="宋体" w:eastAsia="黑体" w:cs="黑体"/>
      <w:color w:val="000000"/>
      <w:sz w:val="13"/>
      <w:szCs w:val="13"/>
      <w:u w:val="none"/>
    </w:rPr>
  </w:style>
  <w:style w:type="character" w:customStyle="1" w:styleId="24">
    <w:name w:val="font11"/>
    <w:basedOn w:val="17"/>
    <w:qFormat/>
    <w:uiPriority w:val="0"/>
    <w:rPr>
      <w:rFonts w:hint="default" w:ascii="Times New Roman" w:hAnsi="Times New Roman" w:cs="Times New Roman"/>
      <w:color w:val="000000"/>
      <w:sz w:val="13"/>
      <w:szCs w:val="13"/>
      <w:u w:val="none"/>
    </w:rPr>
  </w:style>
  <w:style w:type="character" w:customStyle="1" w:styleId="25">
    <w:name w:val="font51"/>
    <w:basedOn w:val="17"/>
    <w:qFormat/>
    <w:uiPriority w:val="0"/>
    <w:rPr>
      <w:rFonts w:hint="eastAsia" w:ascii="黑体" w:hAnsi="宋体" w:eastAsia="黑体" w:cs="黑体"/>
      <w:color w:val="000000"/>
      <w:sz w:val="13"/>
      <w:szCs w:val="13"/>
      <w:u w:val="none"/>
      <w:vertAlign w:val="superscript"/>
    </w:rPr>
  </w:style>
  <w:style w:type="character" w:customStyle="1" w:styleId="26">
    <w:name w:val="font41"/>
    <w:basedOn w:val="17"/>
    <w:qFormat/>
    <w:uiPriority w:val="0"/>
    <w:rPr>
      <w:rFonts w:hint="eastAsia" w:ascii="宋体" w:hAnsi="宋体" w:eastAsia="宋体" w:cs="宋体"/>
      <w:color w:val="000000"/>
      <w:sz w:val="22"/>
      <w:szCs w:val="22"/>
      <w:u w:val="none"/>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9">
    <w:name w:val="表头"/>
    <w:basedOn w:val="1"/>
    <w:next w:val="1"/>
    <w:qFormat/>
    <w:uiPriority w:val="0"/>
    <w:pPr>
      <w:adjustRightInd w:val="0"/>
      <w:snapToGrid w:val="0"/>
      <w:spacing w:before="100" w:after="100" w:line="360" w:lineRule="auto"/>
      <w:jc w:val="center"/>
    </w:pPr>
    <w:rPr>
      <w:rFonts w:ascii="Times New Roman" w:hAnsi="Times New Roman" w:eastAsia="仿宋" w:cs="Times New Roman"/>
      <w:b/>
      <w:sz w:val="28"/>
      <w:szCs w:val="28"/>
    </w:rPr>
  </w:style>
  <w:style w:type="character" w:customStyle="1" w:styleId="30">
    <w:name w:val="font71"/>
    <w:basedOn w:val="17"/>
    <w:qFormat/>
    <w:uiPriority w:val="0"/>
    <w:rPr>
      <w:rFonts w:hint="eastAsia" w:ascii="宋体" w:hAnsi="宋体" w:eastAsia="宋体" w:cs="宋体"/>
      <w:color w:val="000000"/>
      <w:sz w:val="22"/>
      <w:szCs w:val="22"/>
      <w:u w:val="none"/>
    </w:rPr>
  </w:style>
  <w:style w:type="character" w:customStyle="1" w:styleId="31">
    <w:name w:val="r-5-l-sp3"/>
    <w:basedOn w:val="17"/>
    <w:qFormat/>
    <w:uiPriority w:val="0"/>
  </w:style>
  <w:style w:type="character" w:customStyle="1" w:styleId="32">
    <w:name w:val="hdjl-x-l-m-sp3"/>
    <w:basedOn w:val="17"/>
    <w:qFormat/>
    <w:uiPriority w:val="0"/>
  </w:style>
  <w:style w:type="character" w:customStyle="1" w:styleId="33">
    <w:name w:val="hdjl-x-l-x-sp1"/>
    <w:basedOn w:val="17"/>
    <w:qFormat/>
    <w:uiPriority w:val="0"/>
    <w:rPr>
      <w:color w:val="BFBFBF"/>
      <w:sz w:val="19"/>
      <w:szCs w:val="19"/>
    </w:rPr>
  </w:style>
  <w:style w:type="character" w:customStyle="1" w:styleId="34">
    <w:name w:val="bsfw-sp1"/>
    <w:basedOn w:val="17"/>
    <w:qFormat/>
    <w:uiPriority w:val="0"/>
  </w:style>
  <w:style w:type="character" w:customStyle="1" w:styleId="35">
    <w:name w:val="hdjl-x-l-m-sp2"/>
    <w:basedOn w:val="17"/>
    <w:qFormat/>
    <w:uiPriority w:val="0"/>
  </w:style>
  <w:style w:type="character" w:customStyle="1" w:styleId="36">
    <w:name w:val="r-5-l-sp2"/>
    <w:basedOn w:val="17"/>
    <w:qFormat/>
    <w:uiPriority w:val="0"/>
  </w:style>
  <w:style w:type="character" w:customStyle="1" w:styleId="37">
    <w:name w:val="time2"/>
    <w:basedOn w:val="17"/>
    <w:qFormat/>
    <w:uiPriority w:val="0"/>
    <w:rPr>
      <w:color w:val="AAAAAA"/>
    </w:rPr>
  </w:style>
  <w:style w:type="character" w:customStyle="1" w:styleId="38">
    <w:name w:val="time3"/>
    <w:basedOn w:val="17"/>
    <w:qFormat/>
    <w:uiPriority w:val="0"/>
    <w:rPr>
      <w:color w:val="AAAAAA"/>
    </w:rPr>
  </w:style>
  <w:style w:type="character" w:customStyle="1" w:styleId="39">
    <w:name w:val="hover78"/>
    <w:basedOn w:val="17"/>
    <w:qFormat/>
    <w:uiPriority w:val="0"/>
    <w:rPr>
      <w:shd w:val="clear" w:color="auto" w:fill="347BD7"/>
    </w:rPr>
  </w:style>
  <w:style w:type="character" w:customStyle="1" w:styleId="40">
    <w:name w:val="zx-span3"/>
    <w:basedOn w:val="17"/>
    <w:qFormat/>
    <w:uiPriority w:val="0"/>
  </w:style>
  <w:style w:type="character" w:customStyle="1" w:styleId="41">
    <w:name w:val="zx-span31"/>
    <w:basedOn w:val="17"/>
    <w:qFormat/>
    <w:uiPriority w:val="0"/>
    <w:rPr>
      <w:color w:val="FFFFFF"/>
    </w:rPr>
  </w:style>
  <w:style w:type="character" w:customStyle="1" w:styleId="42">
    <w:name w:val="zx-span1"/>
    <w:basedOn w:val="17"/>
    <w:qFormat/>
    <w:uiPriority w:val="0"/>
  </w:style>
  <w:style w:type="character" w:customStyle="1" w:styleId="43">
    <w:name w:val="zx-span11"/>
    <w:basedOn w:val="17"/>
    <w:qFormat/>
    <w:uiPriority w:val="0"/>
    <w:rPr>
      <w:color w:val="FFFFFF"/>
    </w:rPr>
  </w:style>
  <w:style w:type="character" w:customStyle="1" w:styleId="44">
    <w:name w:val="zx-span4"/>
    <w:basedOn w:val="17"/>
    <w:qFormat/>
    <w:uiPriority w:val="0"/>
  </w:style>
  <w:style w:type="character" w:customStyle="1" w:styleId="45">
    <w:name w:val="zx-span41"/>
    <w:basedOn w:val="17"/>
    <w:qFormat/>
    <w:uiPriority w:val="0"/>
    <w:rPr>
      <w:color w:val="FFFFFF"/>
    </w:rPr>
  </w:style>
  <w:style w:type="character" w:customStyle="1" w:styleId="46">
    <w:name w:val="zx-span2"/>
    <w:basedOn w:val="17"/>
    <w:qFormat/>
    <w:uiPriority w:val="0"/>
  </w:style>
  <w:style w:type="character" w:customStyle="1" w:styleId="47">
    <w:name w:val="zx-span21"/>
    <w:basedOn w:val="17"/>
    <w:qFormat/>
    <w:uiPriority w:val="0"/>
    <w:rPr>
      <w:color w:val="FFFFFF"/>
    </w:rPr>
  </w:style>
  <w:style w:type="character" w:customStyle="1" w:styleId="48">
    <w:name w:val="zx-span5"/>
    <w:basedOn w:val="17"/>
    <w:qFormat/>
    <w:uiPriority w:val="0"/>
  </w:style>
  <w:style w:type="character" w:customStyle="1" w:styleId="49">
    <w:name w:val="zx-span51"/>
    <w:basedOn w:val="17"/>
    <w:qFormat/>
    <w:uiPriority w:val="0"/>
    <w:rPr>
      <w:color w:val="FFFFFF"/>
    </w:rPr>
  </w:style>
  <w:style w:type="character" w:customStyle="1" w:styleId="50">
    <w:name w:val="zwfw-sp2"/>
    <w:basedOn w:val="17"/>
    <w:qFormat/>
    <w:uiPriority w:val="0"/>
  </w:style>
  <w:style w:type="character" w:customStyle="1" w:styleId="51">
    <w:name w:val="bsfw-sp2"/>
    <w:basedOn w:val="17"/>
    <w:qFormat/>
    <w:uiPriority w:val="0"/>
  </w:style>
  <w:style w:type="character" w:customStyle="1" w:styleId="52">
    <w:name w:val="bsfw-sp21"/>
    <w:basedOn w:val="17"/>
    <w:qFormat/>
    <w:uiPriority w:val="0"/>
    <w:rPr>
      <w:color w:val="FFFFFF"/>
      <w:shd w:val="clear" w:color="auto" w:fill="347BD7"/>
    </w:rPr>
  </w:style>
  <w:style w:type="character" w:customStyle="1" w:styleId="53">
    <w:name w:val="zx-xuan9"/>
    <w:basedOn w:val="17"/>
    <w:qFormat/>
    <w:uiPriority w:val="0"/>
    <w:rPr>
      <w:shd w:val="clear" w:color="auto" w:fill="347BD7"/>
    </w:rPr>
  </w:style>
  <w:style w:type="character" w:customStyle="1" w:styleId="54">
    <w:name w:val="zx-xuan4"/>
    <w:basedOn w:val="17"/>
    <w:qFormat/>
    <w:uiPriority w:val="0"/>
    <w:rPr>
      <w:shd w:val="clear" w:color="auto" w:fill="FFFFFF"/>
    </w:rPr>
  </w:style>
  <w:style w:type="character" w:customStyle="1" w:styleId="55">
    <w:name w:val="hdxdata"/>
    <w:basedOn w:val="17"/>
    <w:qFormat/>
    <w:uiPriority w:val="0"/>
  </w:style>
  <w:style w:type="character" w:customStyle="1" w:styleId="56">
    <w:name w:val="hdxdata1"/>
    <w:basedOn w:val="17"/>
    <w:qFormat/>
    <w:uiPriority w:val="0"/>
  </w:style>
  <w:style w:type="character" w:customStyle="1" w:styleId="57">
    <w:name w:val="r-5-l-sp1"/>
    <w:basedOn w:val="17"/>
    <w:qFormat/>
    <w:uiPriority w:val="0"/>
  </w:style>
  <w:style w:type="character" w:customStyle="1" w:styleId="58">
    <w:name w:val="bsfw-sp3"/>
    <w:basedOn w:val="17"/>
    <w:qFormat/>
    <w:uiPriority w:val="0"/>
  </w:style>
  <w:style w:type="character" w:customStyle="1" w:styleId="59">
    <w:name w:val="bsfw-sp31"/>
    <w:basedOn w:val="17"/>
    <w:qFormat/>
    <w:uiPriority w:val="0"/>
    <w:rPr>
      <w:color w:val="FFFFFF"/>
      <w:shd w:val="clear" w:color="auto" w:fill="347BD7"/>
    </w:rPr>
  </w:style>
  <w:style w:type="character" w:customStyle="1" w:styleId="60">
    <w:name w:val="hdjl-x-l-m-sp1"/>
    <w:basedOn w:val="17"/>
    <w:qFormat/>
    <w:uiPriority w:val="0"/>
  </w:style>
  <w:style w:type="character" w:customStyle="1" w:styleId="61">
    <w:name w:val="zx-xuan15"/>
    <w:basedOn w:val="17"/>
    <w:qFormat/>
    <w:uiPriority w:val="0"/>
    <w:rPr>
      <w:color w:val="FFFFFF"/>
    </w:rPr>
  </w:style>
  <w:style w:type="character" w:customStyle="1" w:styleId="62">
    <w:name w:val="hdjl-x-l-m-sp4"/>
    <w:basedOn w:val="17"/>
    <w:qFormat/>
    <w:uiPriority w:val="0"/>
  </w:style>
  <w:style w:type="character" w:customStyle="1" w:styleId="63">
    <w:name w:val="hdjl-x-l-x-sp3"/>
    <w:basedOn w:val="17"/>
    <w:qFormat/>
    <w:uiPriority w:val="0"/>
    <w:rPr>
      <w:color w:val="BFBFBF"/>
      <w:sz w:val="14"/>
      <w:szCs w:val="14"/>
    </w:rPr>
  </w:style>
  <w:style w:type="character" w:customStyle="1" w:styleId="64">
    <w:name w:val="ndata"/>
    <w:basedOn w:val="17"/>
    <w:qFormat/>
    <w:uiPriority w:val="0"/>
    <w:rPr>
      <w:color w:val="888888"/>
      <w:sz w:val="16"/>
      <w:szCs w:val="16"/>
    </w:rPr>
  </w:style>
  <w:style w:type="character" w:customStyle="1" w:styleId="65">
    <w:name w:val="data"/>
    <w:basedOn w:val="17"/>
    <w:qFormat/>
    <w:uiPriority w:val="0"/>
    <w:rPr>
      <w:color w:val="B6B6B6"/>
      <w:sz w:val="16"/>
      <w:szCs w:val="1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990</Words>
  <Characters>5647</Characters>
  <Lines>47</Lines>
  <Paragraphs>13</Paragraphs>
  <TotalTime>9</TotalTime>
  <ScaleCrop>false</ScaleCrop>
  <LinksUpToDate>false</LinksUpToDate>
  <CharactersWithSpaces>6624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2021-05-19T12:19:00Z</dcterms:created>
  <dc:creator>Administrator</dc:creator>
  <cp:lastModifiedBy>Administrator</cp:lastModifiedBy>
  <dcterms:modified xsi:type="dcterms:W3CDTF">2022-04-25T03:36:51Z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4B3C4B1663154315AE62B466B1CA8016</vt:lpwstr>
  </property>
</Properties>
</file>