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60" w:lineRule="exact"/>
        <w:jc w:val="center"/>
        <w:rPr>
          <w:rFonts w:ascii="华文中宋" w:hAnsi="华文中宋" w:eastAsia="华文中宋" w:cs="方正小标宋简体"/>
          <w:b/>
          <w:sz w:val="48"/>
          <w:szCs w:val="48"/>
        </w:rPr>
      </w:pPr>
      <w:r>
        <w:rPr>
          <w:rFonts w:hint="eastAsia" w:ascii="华文中宋" w:hAnsi="华文中宋" w:eastAsia="华文中宋" w:cs="方正小标宋简体"/>
          <w:b/>
          <w:sz w:val="48"/>
          <w:szCs w:val="48"/>
        </w:rPr>
        <w:t>三门峡市市场监督管理局</w:t>
      </w:r>
    </w:p>
    <w:p>
      <w:pPr>
        <w:spacing w:before="312" w:beforeLines="100" w:after="312" w:afterLines="100" w:line="360" w:lineRule="auto"/>
        <w:jc w:val="center"/>
        <w:rPr>
          <w:rFonts w:ascii="华文中宋" w:hAnsi="华文中宋" w:eastAsia="华文中宋" w:cs="方正小标宋简体"/>
          <w:b/>
          <w:sz w:val="48"/>
          <w:szCs w:val="48"/>
        </w:rPr>
      </w:pPr>
      <w:r>
        <w:rPr>
          <w:rFonts w:hint="eastAsia" w:ascii="华文中宋" w:hAnsi="华文中宋" w:eastAsia="华文中宋" w:cs="方正小标宋简体"/>
          <w:b/>
          <w:sz w:val="48"/>
          <w:szCs w:val="48"/>
        </w:rPr>
        <w:t>202</w:t>
      </w:r>
      <w:r>
        <w:rPr>
          <w:rFonts w:hint="eastAsia" w:ascii="华文中宋" w:hAnsi="华文中宋" w:eastAsia="华文中宋" w:cs="方正小标宋简体"/>
          <w:b/>
          <w:sz w:val="48"/>
          <w:szCs w:val="48"/>
          <w:lang w:val="en-US" w:eastAsia="zh-CN"/>
        </w:rPr>
        <w:t>1</w:t>
      </w:r>
      <w:r>
        <w:rPr>
          <w:rFonts w:hint="eastAsia" w:ascii="华文中宋" w:hAnsi="华文中宋" w:eastAsia="华文中宋" w:cs="方正小标宋简体"/>
          <w:b/>
          <w:sz w:val="48"/>
          <w:szCs w:val="48"/>
        </w:rPr>
        <w:t>年度项目支出自评报告</w:t>
      </w: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420" w:firstLineChars="200"/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</w:p>
    <w:p>
      <w:pPr>
        <w:spacing w:before="100" w:after="100"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自评单位：三门峡市市场监督管理局</w:t>
      </w:r>
    </w:p>
    <w:p>
      <w:pPr>
        <w:spacing w:line="360" w:lineRule="auto"/>
        <w:ind w:firstLine="1606" w:firstLineChars="500"/>
        <w:rPr>
          <w:rFonts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日    期：202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sz w:val="32"/>
          <w:szCs w:val="32"/>
        </w:rPr>
        <w:t>月</w:t>
      </w:r>
    </w:p>
    <w:p>
      <w:pPr>
        <w:jc w:val="center"/>
        <w:rPr>
          <w:rFonts w:ascii="宋体" w:hAnsi="宋体" w:eastAsia="宋体"/>
          <w:b/>
          <w:bCs/>
          <w:sz w:val="28"/>
          <w:szCs w:val="36"/>
        </w:rPr>
        <w:sectPr>
          <w:pgSz w:w="11906" w:h="16838"/>
          <w:pgMar w:top="1440" w:right="1800" w:bottom="1440" w:left="1800" w:header="851" w:footer="992" w:gutter="0"/>
          <w:pgNumType w:fmt="upperRoman"/>
          <w:cols w:space="425" w:num="1"/>
          <w:docGrid w:type="lines" w:linePitch="312" w:charSpace="0"/>
        </w:sectPr>
      </w:pPr>
    </w:p>
    <w:sdt>
      <w:sdtPr>
        <w:rPr>
          <w:rFonts w:hint="eastAsia" w:ascii="黑体" w:hAnsi="黑体" w:eastAsia="黑体" w:cs="黑体"/>
          <w:b/>
          <w:bCs/>
          <w:sz w:val="40"/>
          <w:szCs w:val="40"/>
        </w:rPr>
        <w:id w:val="147454492"/>
        <w15:color w:val="DBDBDB"/>
        <w:docPartObj>
          <w:docPartGallery w:val="Table of Contents"/>
          <w:docPartUnique/>
        </w:docPartObj>
      </w:sdtPr>
      <w:sdtEndPr>
        <w:rPr>
          <w:rFonts w:hint="eastAsia" w:ascii="黑体" w:hAnsi="黑体" w:eastAsia="黑体" w:cs="黑体"/>
          <w:b/>
          <w:bCs w:val="0"/>
          <w:sz w:val="32"/>
          <w:szCs w:val="32"/>
        </w:rPr>
      </w:sdtEndPr>
      <w:sdtContent>
        <w:p>
          <w:pPr>
            <w:jc w:val="center"/>
            <w:rPr>
              <w:rFonts w:ascii="黑体" w:hAnsi="黑体" w:eastAsia="黑体" w:cs="黑体"/>
              <w:b/>
              <w:bCs/>
              <w:sz w:val="40"/>
              <w:szCs w:val="40"/>
            </w:rPr>
          </w:pPr>
          <w:bookmarkStart w:id="0" w:name="_Toc6149"/>
          <w:r>
            <w:rPr>
              <w:rFonts w:hint="eastAsia" w:ascii="宋体" w:hAnsi="宋体" w:eastAsia="宋体" w:cs="宋体"/>
              <w:b/>
              <w:bCs/>
              <w:sz w:val="40"/>
              <w:szCs w:val="40"/>
            </w:rPr>
            <w:t>目录</w:t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rPr>
              <w:rFonts w:hint="eastAsia" w:ascii="黑体" w:hAnsi="黑体" w:eastAsia="黑体" w:cs="黑体"/>
              <w:b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b/>
              <w:sz w:val="28"/>
              <w:szCs w:val="28"/>
            </w:rPr>
            <w:instrText xml:space="preserve">TOC \o "1-2" \h \u </w:instrText>
          </w:r>
          <w:r>
            <w:rPr>
              <w:rFonts w:hint="eastAsia" w:ascii="黑体" w:hAnsi="黑体" w:eastAsia="黑体" w:cs="黑体"/>
              <w:b/>
              <w:sz w:val="28"/>
              <w:szCs w:val="28"/>
            </w:rPr>
            <w:fldChar w:fldCharType="separate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"_Toc21579"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一、项目支出基本情况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_Toc21579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- 1 -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"_Toc30125"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（一）项目支出预算和执行情况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_Toc30125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- 1 -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"_Toc23046"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（二）项目内容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_Toc23046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"_Toc12012"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（三）绩效目标批复情况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_Toc12012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"_Toc22554"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二、单位自评工作开展情况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_Toc22554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"_Toc7132"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（一）绩效自评目的和意义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_Toc7132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- 2 -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"_Toc11744"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（二）绩效自评对象和范围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_Toc11744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- 3 -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"_Toc20074"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（三）绩效评价的依据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_Toc20074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- 3 -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"_Toc23997"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（四）评分方法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_Toc23997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- 4 -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"_Toc16101"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（五）绩效自评工作组织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_Toc16101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"_Toc2106"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三、</w:t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单位自评结果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_Toc2106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2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"_Toc22338"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（一）自评结果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_Toc22338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- 5 -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"_Toc6497"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四、 自评发现的问题及整改措施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_Toc6497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- 7 -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"_Toc16509"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五、 绩效自评工作建议及预算安排建议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_Toc16509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- 7 -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pStyle w:val="11"/>
            <w:tabs>
              <w:tab w:val="right" w:leader="dot" w:pos="8306"/>
            </w:tabs>
            <w:rPr>
              <w:rFonts w:ascii="黑体" w:hAnsi="黑体" w:eastAsia="黑体" w:cs="黑体"/>
              <w:sz w:val="28"/>
              <w:szCs w:val="28"/>
            </w:rPr>
          </w:pPr>
          <w:r>
            <w:fldChar w:fldCharType="begin"/>
          </w:r>
          <w:r>
            <w:instrText xml:space="preserve"> HYPERLINK \l "_Toc7334"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  <w:lang w:val="zh-CN"/>
            </w:rPr>
            <w:t>六、 其他需要说明的问题</w:t>
          </w:r>
          <w:r>
            <w:rPr>
              <w:rFonts w:hint="eastAsia" w:ascii="黑体" w:hAnsi="黑体" w:eastAsia="黑体" w:cs="黑体"/>
              <w:sz w:val="28"/>
              <w:szCs w:val="28"/>
            </w:rPr>
            <w:tab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begin"/>
          </w:r>
          <w:r>
            <w:rPr>
              <w:rFonts w:hint="eastAsia" w:ascii="黑体" w:hAnsi="黑体" w:eastAsia="黑体" w:cs="黑体"/>
              <w:sz w:val="28"/>
              <w:szCs w:val="28"/>
            </w:rPr>
            <w:instrText xml:space="preserve"> PAGEREF _Toc7334 \h </w:instrTex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separate"/>
          </w:r>
          <w:r>
            <w:rPr>
              <w:rFonts w:hint="eastAsia" w:ascii="黑体" w:hAnsi="黑体" w:eastAsia="黑体" w:cs="黑体"/>
              <w:sz w:val="28"/>
              <w:szCs w:val="28"/>
            </w:rPr>
            <w:t>- 8 -</w:t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  <w:p>
          <w:pPr>
            <w:spacing w:line="360" w:lineRule="auto"/>
            <w:jc w:val="center"/>
            <w:rPr>
              <w:rFonts w:ascii="华文中宋" w:hAnsi="华文中宋" w:eastAsia="华文中宋" w:cs="方正小标宋简体"/>
              <w:b/>
              <w:szCs w:val="44"/>
            </w:rPr>
          </w:pPr>
          <w:r>
            <w:rPr>
              <w:rFonts w:hint="eastAsia" w:ascii="黑体" w:hAnsi="黑体" w:eastAsia="黑体" w:cs="黑体"/>
              <w:sz w:val="28"/>
              <w:szCs w:val="28"/>
            </w:rPr>
            <w:fldChar w:fldCharType="end"/>
          </w:r>
        </w:p>
      </w:sdtContent>
    </w:sdt>
    <w:p>
      <w:pPr>
        <w:widowControl/>
        <w:tabs>
          <w:tab w:val="left" w:pos="6997"/>
        </w:tabs>
        <w:jc w:val="left"/>
        <w:sectPr>
          <w:footerReference r:id="rId3" w:type="default"/>
          <w:pgSz w:w="11906" w:h="16838"/>
          <w:pgMar w:top="1440" w:right="1800" w:bottom="1440" w:left="1800" w:header="851" w:footer="992" w:gutter="0"/>
          <w:pgNumType w:fmt="upperRoman" w:start="1"/>
          <w:cols w:space="425" w:num="1"/>
          <w:docGrid w:type="lines" w:linePitch="312" w:charSpace="0"/>
        </w:sectPr>
      </w:pPr>
      <w:r>
        <w:rPr>
          <w:rFonts w:hint="eastAsia"/>
        </w:rPr>
        <w:tab/>
      </w:r>
    </w:p>
    <w:bookmarkEnd w:id="0"/>
    <w:p>
      <w:pPr>
        <w:spacing w:line="360" w:lineRule="auto"/>
        <w:jc w:val="center"/>
        <w:outlineLvl w:val="0"/>
        <w:rPr>
          <w:rFonts w:ascii="华文中宋" w:hAnsi="华文中宋" w:eastAsia="华文中宋" w:cs="方正小标宋简体"/>
          <w:b/>
          <w:sz w:val="44"/>
          <w:szCs w:val="44"/>
        </w:rPr>
      </w:pPr>
      <w:bookmarkStart w:id="1" w:name="_Toc4141"/>
      <w:r>
        <w:rPr>
          <w:rFonts w:hint="eastAsia" w:ascii="华文中宋" w:hAnsi="华文中宋" w:eastAsia="华文中宋" w:cs="方正小标宋简体"/>
          <w:b/>
          <w:sz w:val="44"/>
          <w:szCs w:val="44"/>
        </w:rPr>
        <w:t>三门峡市市场监督管理局</w:t>
      </w:r>
      <w:bookmarkEnd w:id="1"/>
    </w:p>
    <w:p>
      <w:pPr>
        <w:spacing w:line="360" w:lineRule="auto"/>
        <w:jc w:val="center"/>
        <w:outlineLvl w:val="0"/>
        <w:rPr>
          <w:rFonts w:ascii="华文中宋" w:hAnsi="华文中宋" w:eastAsia="华文中宋" w:cs="方正小标宋简体"/>
          <w:b/>
          <w:sz w:val="44"/>
          <w:szCs w:val="44"/>
        </w:rPr>
      </w:pPr>
      <w:bookmarkStart w:id="2" w:name="_Toc24313"/>
      <w:bookmarkStart w:id="3" w:name="_Toc14085"/>
      <w:bookmarkStart w:id="4" w:name="_Toc851"/>
      <w:bookmarkStart w:id="5" w:name="_Toc27784"/>
      <w:bookmarkStart w:id="6" w:name="_Toc23711"/>
      <w:bookmarkStart w:id="7" w:name="_Toc31605"/>
      <w:bookmarkStart w:id="8" w:name="_Toc15802"/>
      <w:r>
        <w:rPr>
          <w:rFonts w:hint="eastAsia" w:ascii="华文中宋" w:hAnsi="华文中宋" w:eastAsia="华文中宋" w:cs="方正小标宋简体"/>
          <w:b/>
          <w:sz w:val="44"/>
          <w:szCs w:val="44"/>
        </w:rPr>
        <w:t>202</w:t>
      </w:r>
      <w:r>
        <w:rPr>
          <w:rFonts w:hint="eastAsia" w:ascii="华文中宋" w:hAnsi="华文中宋" w:eastAsia="华文中宋" w:cs="方正小标宋简体"/>
          <w:b/>
          <w:sz w:val="44"/>
          <w:szCs w:val="44"/>
          <w:lang w:val="en-US" w:eastAsia="zh-CN"/>
        </w:rPr>
        <w:t>1</w:t>
      </w:r>
      <w:r>
        <w:rPr>
          <w:rFonts w:hint="eastAsia" w:ascii="华文中宋" w:hAnsi="华文中宋" w:eastAsia="华文中宋" w:cs="方正小标宋简体"/>
          <w:b/>
          <w:sz w:val="44"/>
          <w:szCs w:val="44"/>
        </w:rPr>
        <w:t>年度项目支出自评报告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为深入贯彻落实</w:t>
      </w:r>
      <w:r>
        <w:rPr>
          <w:rFonts w:ascii="仿宋_GB2312" w:eastAsia="仿宋_GB2312" w:cs="仿宋_GB2312"/>
          <w:sz w:val="32"/>
          <w:szCs w:val="32"/>
          <w:lang w:val="zh-CN"/>
        </w:rPr>
        <w:t>《中共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委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人民政府关于全面实施预算绩效管理的实施意见》</w:t>
      </w:r>
      <w:r>
        <w:rPr>
          <w:rFonts w:hint="eastAsia" w:ascii="仿宋_GB2312" w:eastAsia="仿宋_GB2312" w:cs="仿宋_GB2312"/>
          <w:sz w:val="32"/>
          <w:szCs w:val="32"/>
        </w:rPr>
        <w:t>有关要求，健全绩效评价常态化机制，强化部门预算绩效管理主体责任，提高财政资金使用效益。按照《</w:t>
      </w:r>
      <w:r>
        <w:rPr>
          <w:rFonts w:hint="eastAsia" w:asci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eastAsia="仿宋_GB2312" w:cs="仿宋_GB2312"/>
          <w:sz w:val="32"/>
          <w:szCs w:val="32"/>
        </w:rPr>
        <w:t>》（</w:t>
      </w:r>
      <w:r>
        <w:rPr>
          <w:rFonts w:asci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eastAsia="仿宋_GB2312" w:cs="仿宋_GB2312"/>
          <w:sz w:val="32"/>
          <w:szCs w:val="32"/>
        </w:rPr>
        <w:t>）文件的相关要求，我单位高度重视，成立了绩效自评工作领导小组，通过基础资料收集、问卷调查、数据汇总分析等工作程序，对部门整体的情况进行全面了解，根据</w:t>
      </w:r>
      <w:r>
        <w:rPr>
          <w:rFonts w:asci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eastAsia="仿宋_GB2312" w:cs="仿宋_GB2312"/>
          <w:sz w:val="32"/>
          <w:szCs w:val="32"/>
        </w:rPr>
        <w:t>文件要求，形成如下绩效自评报告。现将有关情况报告如下：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</w:rPr>
      </w:pPr>
      <w:bookmarkStart w:id="9" w:name="_Toc13873"/>
      <w:bookmarkStart w:id="10" w:name="_Toc15017"/>
      <w:bookmarkStart w:id="11" w:name="_Toc21579"/>
      <w:r>
        <w:rPr>
          <w:rFonts w:hint="eastAsia" w:ascii="黑体" w:hAnsi="黑体" w:eastAsia="黑体" w:cs="黑体"/>
          <w:sz w:val="32"/>
          <w:szCs w:val="32"/>
        </w:rPr>
        <w:t>一、项目支出基本情况</w:t>
      </w:r>
      <w:bookmarkEnd w:id="9"/>
      <w:bookmarkEnd w:id="10"/>
      <w:bookmarkEnd w:id="11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12" w:name="_Toc30125"/>
      <w:bookmarkStart w:id="13" w:name="_Toc1381"/>
      <w:bookmarkStart w:id="14" w:name="_Toc19332"/>
      <w:r>
        <w:rPr>
          <w:rFonts w:hint="eastAsia" w:ascii="黑体" w:hAnsi="黑体" w:eastAsia="黑体" w:cs="黑体"/>
          <w:sz w:val="30"/>
          <w:szCs w:val="30"/>
        </w:rPr>
        <w:t>（一）项目</w:t>
      </w:r>
      <w:r>
        <w:rPr>
          <w:rFonts w:hint="eastAsia" w:ascii="黑体" w:hAnsi="黑体" w:eastAsia="黑体" w:cs="黑体"/>
        </w:rPr>
        <w:t>支出</w:t>
      </w:r>
      <w:r>
        <w:rPr>
          <w:rFonts w:hint="eastAsia" w:ascii="黑体" w:hAnsi="黑体" w:eastAsia="黑体" w:cs="黑体"/>
          <w:sz w:val="30"/>
          <w:szCs w:val="30"/>
        </w:rPr>
        <w:t>预算和执行情况</w:t>
      </w:r>
      <w:bookmarkEnd w:id="12"/>
      <w:bookmarkEnd w:id="13"/>
      <w:bookmarkEnd w:id="14"/>
    </w:p>
    <w:p>
      <w:pPr>
        <w:widowControl/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三门峡市市场监督管理局</w:t>
      </w:r>
      <w:r>
        <w:rPr>
          <w:rFonts w:ascii="仿宋_GB2312" w:eastAsia="仿宋_GB2312" w:cs="仿宋_GB2312"/>
          <w:sz w:val="32"/>
          <w:szCs w:val="32"/>
          <w:lang w:val="zh-CN"/>
        </w:rPr>
        <w:t>主要职责</w:t>
      </w:r>
      <w:r>
        <w:rPr>
          <w:rFonts w:hint="eastAsia" w:ascii="仿宋_GB2312" w:eastAsia="仿宋_GB2312" w:cs="仿宋_GB2312"/>
          <w:sz w:val="32"/>
          <w:szCs w:val="32"/>
        </w:rPr>
        <w:t>为负责组织开展食品、特种设备、产品质量安全、反垄断、反不正当竞争、价格监督、网络交易监管、广告监管、知识产权保护、消费者权益保护等各类行政执法及相关检查、调查、宣传、培训等工作，加大市场监管综合执法力度，促进市场公平竞争，维护市场正常秩序，维护消费者利益和社会公共利益。</w:t>
      </w:r>
    </w:p>
    <w:p>
      <w:pPr>
        <w:shd w:val="clear" w:color="auto" w:fill="FFFFFF"/>
        <w:spacing w:line="360" w:lineRule="auto"/>
        <w:ind w:firstLine="640" w:firstLineChars="200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市场执法车辆运行经费及其他经费，年初预算数为预算为</w:t>
      </w:r>
      <w:r>
        <w:rPr>
          <w:rFonts w:hint="eastAsia" w:ascii="仿宋_GB2312" w:eastAsia="仿宋_GB2312" w:cs="仿宋_GB2312"/>
          <w:sz w:val="36"/>
          <w:szCs w:val="36"/>
          <w:lang w:val="en-US" w:eastAsia="zh-CN"/>
        </w:rPr>
        <w:t>48</w:t>
      </w:r>
      <w:r>
        <w:rPr>
          <w:rFonts w:hint="eastAsia" w:ascii="仿宋_GB2312" w:eastAsia="仿宋_GB2312" w:cs="仿宋_GB2312"/>
          <w:sz w:val="32"/>
          <w:szCs w:val="32"/>
        </w:rPr>
        <w:t>万元，全年财政拨款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48</w:t>
      </w:r>
      <w:r>
        <w:rPr>
          <w:rFonts w:hint="eastAsia" w:ascii="仿宋_GB2312" w:eastAsia="仿宋_GB2312" w:cs="仿宋_GB2312"/>
          <w:sz w:val="32"/>
          <w:szCs w:val="32"/>
        </w:rPr>
        <w:t>万元，全年项目实际支出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48</w:t>
      </w:r>
      <w:r>
        <w:rPr>
          <w:rFonts w:hint="eastAsia" w:ascii="仿宋_GB2312" w:eastAsia="仿宋_GB2312" w:cs="仿宋_GB2312"/>
          <w:sz w:val="32"/>
          <w:szCs w:val="32"/>
        </w:rPr>
        <w:t>万元，预算执行率100%。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15" w:name="_Toc839"/>
      <w:bookmarkStart w:id="16" w:name="_Toc843"/>
      <w:bookmarkStart w:id="17" w:name="_Toc23046"/>
      <w:r>
        <w:rPr>
          <w:rFonts w:hint="eastAsia" w:ascii="黑体" w:hAnsi="黑体" w:eastAsia="黑体" w:cs="黑体"/>
          <w:sz w:val="30"/>
          <w:szCs w:val="30"/>
        </w:rPr>
        <w:t>（二）项目内容</w:t>
      </w:r>
      <w:bookmarkEnd w:id="15"/>
      <w:bookmarkEnd w:id="16"/>
      <w:bookmarkEnd w:id="17"/>
    </w:p>
    <w:p>
      <w:pPr>
        <w:pStyle w:val="5"/>
        <w:keepNext w:val="0"/>
        <w:keepLines w:val="0"/>
        <w:adjustRightInd/>
        <w:snapToGrid/>
        <w:spacing w:before="0" w:after="0"/>
        <w:ind w:firstLine="640" w:firstLineChars="200"/>
        <w:rPr>
          <w:rFonts w:hint="eastAsia" w:ascii="仿宋_GB2312" w:eastAsia="仿宋_GB2312" w:cs="仿宋_GB2312"/>
          <w:b w:val="0"/>
          <w:bCs/>
          <w:sz w:val="32"/>
          <w:szCs w:val="32"/>
          <w:lang w:eastAsia="zh-CN"/>
        </w:rPr>
      </w:pPr>
      <w:bookmarkStart w:id="18" w:name="_Toc18257"/>
      <w:bookmarkStart w:id="19" w:name="_Toc23203"/>
      <w:bookmarkStart w:id="20" w:name="_Toc12012"/>
      <w:r>
        <w:rPr>
          <w:rFonts w:hint="eastAsia" w:ascii="仿宋_GB2312" w:eastAsia="仿宋_GB2312" w:cs="仿宋_GB2312"/>
          <w:b w:val="0"/>
          <w:bCs/>
          <w:sz w:val="32"/>
          <w:szCs w:val="32"/>
          <w:lang w:eastAsia="zh-CN"/>
        </w:rPr>
        <w:t>为</w:t>
      </w:r>
      <w:r>
        <w:rPr>
          <w:rFonts w:hint="eastAsia" w:ascii="仿宋_GB2312" w:eastAsia="仿宋_GB2312" w:cs="仿宋_GB2312"/>
          <w:b w:val="0"/>
          <w:bCs/>
          <w:sz w:val="32"/>
          <w:szCs w:val="32"/>
        </w:rPr>
        <w:t>保证我局执法车辆正常使用和执法工作正常运行</w:t>
      </w:r>
      <w:r>
        <w:rPr>
          <w:rFonts w:hint="eastAsia" w:ascii="仿宋_GB2312" w:eastAsia="仿宋_GB2312" w:cs="仿宋_GB2312"/>
          <w:b w:val="0"/>
          <w:bCs/>
          <w:sz w:val="32"/>
          <w:szCs w:val="32"/>
          <w:lang w:eastAsia="zh-CN"/>
        </w:rPr>
        <w:t>，主要用于执法车辆的过桥过路费、保险费、燃油费、以及维修费用</w:t>
      </w:r>
      <w:r>
        <w:rPr>
          <w:rFonts w:hint="eastAsia" w:ascii="仿宋_GB2312" w:eastAsia="仿宋_GB2312" w:cs="仿宋_GB2312"/>
          <w:b w:val="0"/>
          <w:bCs/>
          <w:sz w:val="32"/>
          <w:szCs w:val="32"/>
        </w:rPr>
        <w:t>，通过与维修服务公司合作，为作业车辆提供后勤保障</w:t>
      </w:r>
      <w:r>
        <w:rPr>
          <w:rFonts w:hint="eastAsia" w:ascii="仿宋_GB2312" w:eastAsia="仿宋_GB2312" w:cs="仿宋_GB2312"/>
          <w:b w:val="0"/>
          <w:bCs/>
          <w:sz w:val="32"/>
          <w:szCs w:val="32"/>
          <w:lang w:eastAsia="zh-CN"/>
        </w:rPr>
        <w:t>。</w:t>
      </w:r>
    </w:p>
    <w:p>
      <w:pPr>
        <w:pStyle w:val="5"/>
        <w:keepNext w:val="0"/>
        <w:keepLines w:val="0"/>
        <w:adjustRightInd/>
        <w:snapToGrid/>
        <w:spacing w:before="0" w:after="0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在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外宣方面，在市级以上媒体发稿820余篇，包括中央电视台、人民网、光明日报、中国市场监管报、河南广播电视台等主流媒体。3.15期间，在中消报、三门峡日报推出整版报道；七一前夕，在中消报推出非公党建整版报道，在三门峡日报“百年风华  出彩崤函”系列中推出两个整版，“学习强国”平台多次刊发我局的报道，在中国质量报、消费时报、河南日报、三门峡日报多次推出头版或头题，为全市外宣工作贡献了强劲的市场监管力量。同时，我们不断加大新闻发布力度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（三）绩效目标批复情况</w:t>
      </w:r>
      <w:bookmarkEnd w:id="18"/>
      <w:bookmarkEnd w:id="19"/>
      <w:bookmarkEnd w:id="20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我单位各科室，根据历史依据和当年目标任务编制202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项目预算，并结合项目实际情况，按照“谁批复预算，谁批复目标”的原则，编报项目绩效目标申报表。提交市局审核汇总，上报三门峡市财政局审批，三门峡市财政局在市人代会批准我部门年度预算后，将绩效目标随部门预算批复我部门；我部门将批复的绩效目标按预算管理级次细化批复到项目科室，并提出绩效管理具体工作要求。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</w:rPr>
      </w:pPr>
      <w:bookmarkStart w:id="21" w:name="_Toc26306"/>
      <w:bookmarkStart w:id="22" w:name="_Toc22554"/>
      <w:bookmarkStart w:id="23" w:name="_Toc31315"/>
      <w:r>
        <w:rPr>
          <w:rFonts w:hint="eastAsia" w:ascii="黑体" w:hAnsi="黑体" w:eastAsia="黑体" w:cs="黑体"/>
          <w:sz w:val="32"/>
          <w:szCs w:val="32"/>
        </w:rPr>
        <w:t>二、单位</w:t>
      </w:r>
      <w:r>
        <w:rPr>
          <w:rFonts w:ascii="黑体" w:hAnsi="黑体" w:eastAsia="黑体" w:cs="黑体"/>
          <w:sz w:val="32"/>
          <w:szCs w:val="32"/>
        </w:rPr>
        <w:t>自评工作开展情况</w:t>
      </w:r>
      <w:bookmarkEnd w:id="21"/>
      <w:bookmarkEnd w:id="22"/>
      <w:bookmarkEnd w:id="23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24" w:name="_Toc25866"/>
      <w:bookmarkStart w:id="25" w:name="_Toc8544"/>
      <w:bookmarkStart w:id="26" w:name="_Toc31583"/>
      <w:bookmarkStart w:id="27" w:name="_Toc7132"/>
      <w:bookmarkStart w:id="28" w:name="_Toc12595"/>
      <w:r>
        <w:rPr>
          <w:rFonts w:hint="eastAsia" w:ascii="黑体" w:hAnsi="黑体" w:eastAsia="黑体" w:cs="黑体"/>
          <w:sz w:val="30"/>
          <w:szCs w:val="30"/>
        </w:rPr>
        <w:t>（一）绩效自评目的和意义</w:t>
      </w:r>
      <w:bookmarkEnd w:id="24"/>
      <w:bookmarkEnd w:id="25"/>
      <w:bookmarkEnd w:id="26"/>
      <w:bookmarkEnd w:id="27"/>
      <w:bookmarkEnd w:id="2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预算支出绩效自评是预算单位运用科学、规范的评价方法，对照统一的评价标准，对预算支出的效率和效益进行的自我衡量和综合评价。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预算支出绩效自评的目的是：通过对绩效目标的综合考评，合理配置资源，优化支出结构，规范预算资金分配，提高财政资源配置效率和使用效益。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推进预算支出绩效自评的意义是：加强部门及项目预算管理，有利于建设高效透明政府，有利于深化政府管理体制改革。从政府部门管理层面来看，可促进预算单位预算管理的科学性和合理性；从财政部门资金监管层面来看，可深入了解资金投向的明确性和准确性，提高资金使用效率；从项目实施单位来看，可以进一步规范资金使用，提升项目实施效果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29" w:name="_Toc9139"/>
      <w:bookmarkStart w:id="30" w:name="_Toc21569"/>
      <w:bookmarkStart w:id="31" w:name="_Toc26818"/>
      <w:bookmarkStart w:id="32" w:name="_Toc11744"/>
      <w:bookmarkStart w:id="33" w:name="_Toc4202"/>
      <w:r>
        <w:rPr>
          <w:rFonts w:hint="eastAsia" w:ascii="黑体" w:hAnsi="黑体" w:eastAsia="黑体" w:cs="黑体"/>
          <w:sz w:val="30"/>
          <w:szCs w:val="30"/>
        </w:rPr>
        <w:t>（二）绩效自评对象和范围</w:t>
      </w:r>
      <w:bookmarkEnd w:id="29"/>
      <w:bookmarkEnd w:id="30"/>
      <w:bookmarkEnd w:id="31"/>
      <w:bookmarkEnd w:id="32"/>
      <w:bookmarkEnd w:id="33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本次绩效自评对象为三门峡市市场监督管理局，202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年实施市场执法车辆运行经费及其他经费的费用支出，涉及资金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万元，评价范围为涉及该项目管理及其预算资金使用绩效的相关情况。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34" w:name="_Toc23494"/>
      <w:bookmarkStart w:id="35" w:name="_Toc17710"/>
      <w:bookmarkStart w:id="36" w:name="_Toc20074"/>
      <w:bookmarkStart w:id="37" w:name="_Toc31552"/>
      <w:bookmarkStart w:id="38" w:name="_Toc21596"/>
      <w:r>
        <w:rPr>
          <w:rFonts w:hint="eastAsia" w:ascii="黑体" w:hAnsi="黑体" w:eastAsia="黑体" w:cs="黑体"/>
          <w:sz w:val="30"/>
          <w:szCs w:val="30"/>
        </w:rPr>
        <w:t>（三）绩效评价的依据</w:t>
      </w:r>
      <w:bookmarkEnd w:id="34"/>
      <w:bookmarkEnd w:id="35"/>
      <w:bookmarkEnd w:id="36"/>
      <w:bookmarkEnd w:id="37"/>
      <w:bookmarkEnd w:id="3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1.中共中央、国务院《关于全面实施预算绩效管理的意见》（中发〔2018〕34号）；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2.《项目支出绩效评价管理办法》（财预[2020]10号）；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3.《中共河南省委 河南省人民政府关于全面实施预算绩效管理的实施意见》（豫发〔2019〕10号）；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4.河南省财政厅关于印发《河南省省级预算项目支出绩效评价管理办法》的通知（豫财效〔2020〕10号）；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5、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《中共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委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人民政府关于全面实施预算绩效管理的实施意见》（三发〔2020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14号）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39" w:name="_Toc2346"/>
      <w:bookmarkStart w:id="40" w:name="_Toc15060"/>
      <w:r>
        <w:rPr>
          <w:rFonts w:hint="eastAsia" w:ascii="仿宋_GB2312" w:hAnsi="仿宋_GB2312" w:eastAsia="仿宋_GB2312" w:cs="仿宋_GB2312"/>
          <w:sz w:val="32"/>
          <w:szCs w:val="32"/>
        </w:rPr>
        <w:t>6、《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7、与本次自评相关的其他资料。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41" w:name="_Toc1796"/>
      <w:bookmarkStart w:id="42" w:name="_Toc18992"/>
      <w:bookmarkStart w:id="43" w:name="_Toc23997"/>
      <w:r>
        <w:rPr>
          <w:rFonts w:hint="eastAsia" w:ascii="黑体" w:hAnsi="黑体" w:eastAsia="黑体" w:cs="黑体"/>
          <w:sz w:val="30"/>
          <w:szCs w:val="30"/>
        </w:rPr>
        <w:t>（四）评分方法</w:t>
      </w:r>
      <w:bookmarkEnd w:id="39"/>
      <w:bookmarkEnd w:id="40"/>
      <w:bookmarkEnd w:id="41"/>
      <w:bookmarkEnd w:id="42"/>
      <w:bookmarkEnd w:id="43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根据财政部《项目支出绩效评价管理办法》（财预〔2020〕10 号）第十六条的相关要求：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“单位自评采用定量与定性评价相结合的比较法，总分由各项指标得分汇总形成。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量指标得分按照以下方法评定：与年初指标值相比，完成指标值的，计该指标所赋全部分值；对完成值高于指标值较多的，要分析原因，如果是由于年初指标值设定明显偏低造成的，要按照偏离度适度调减分值；未完成指标值的，按照完成值与指标值的比例计分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定性指标得分按照以下方法评定：根据指标完成情况分为达成年度指标、部分达成年度指标并具有一定效果、未达成年度指标且效果较差三档，分别按照该指标对应分值区间100%—80%（含）、80%—60%（含）、60%—0%合理确定分值。”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三门峡市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年度市级预算绩效自评工作的通知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〕3号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）相关要求：“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绩效自评采取打分评价的形式，满分为100分，项目单位自评原则上一级指标分值统一设置为：产出指标50分、效益指标30分、服务对象满意度10分、预算资金执行率10分。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”指标权重可根据指标的重要程度自主确定各项三级指标的权重分值，各项指标得分加总得出自评的总分。</w:t>
      </w:r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</w:rPr>
      </w:pPr>
      <w:bookmarkStart w:id="44" w:name="_Toc7828"/>
      <w:bookmarkStart w:id="45" w:name="_Toc18185"/>
      <w:bookmarkStart w:id="46" w:name="_Toc16101"/>
      <w:bookmarkStart w:id="47" w:name="_Toc15508"/>
      <w:bookmarkStart w:id="48" w:name="_Toc10949"/>
      <w:r>
        <w:rPr>
          <w:rFonts w:hint="eastAsia" w:ascii="黑体" w:hAnsi="黑体" w:eastAsia="黑体" w:cs="黑体"/>
          <w:sz w:val="30"/>
          <w:szCs w:val="30"/>
        </w:rPr>
        <w:t>（五）绩效自评工作组织</w:t>
      </w:r>
      <w:bookmarkEnd w:id="44"/>
      <w:bookmarkEnd w:id="45"/>
      <w:bookmarkEnd w:id="46"/>
      <w:bookmarkEnd w:id="47"/>
      <w:bookmarkEnd w:id="48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我单位依据《三门峡市财政局关于开展202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年度市级预算绩效自评工作的通知》（三财效〔202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〕3号）相关要求，由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相关业务科室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根据具体项目进行自评。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主要工作内容有：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.组织有效的调查研究、项目座谈、查阅相关资料；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.根据获取的资料，依照《项目支出绩效自评表》进行合理打分；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.综合上述工作成果，撰写项目自评报告；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.完成项目绩效评价相关政策所要求的其他事项；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.发现问题，并落实整改。</w:t>
      </w:r>
    </w:p>
    <w:p>
      <w:pPr>
        <w:pStyle w:val="4"/>
        <w:keepNext w:val="0"/>
        <w:keepLines w:val="0"/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49" w:name="_Toc16"/>
      <w:bookmarkStart w:id="50" w:name="_Toc17646"/>
      <w:bookmarkStart w:id="51" w:name="_Toc5171"/>
      <w:bookmarkStart w:id="52" w:name="_Toc2106"/>
      <w:bookmarkStart w:id="53" w:name="_Toc12278"/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ascii="黑体" w:hAnsi="黑体" w:eastAsia="黑体" w:cs="黑体"/>
          <w:sz w:val="32"/>
          <w:szCs w:val="32"/>
          <w:lang w:val="zh-CN"/>
        </w:rPr>
        <w:t>单位自评结果及分析</w:t>
      </w:r>
      <w:bookmarkEnd w:id="49"/>
      <w:bookmarkEnd w:id="50"/>
      <w:bookmarkEnd w:id="51"/>
      <w:bookmarkEnd w:id="52"/>
      <w:bookmarkEnd w:id="53"/>
    </w:p>
    <w:p>
      <w:pPr>
        <w:pStyle w:val="5"/>
        <w:keepNext w:val="0"/>
        <w:keepLines w:val="0"/>
        <w:adjustRightInd/>
        <w:snapToGrid/>
        <w:spacing w:before="0" w:after="0"/>
        <w:rPr>
          <w:rFonts w:ascii="黑体" w:hAnsi="黑体" w:eastAsia="黑体" w:cs="黑体"/>
          <w:sz w:val="30"/>
          <w:szCs w:val="30"/>
          <w:lang w:val="zh-CN"/>
        </w:rPr>
      </w:pPr>
      <w:bookmarkStart w:id="54" w:name="_Toc22338"/>
      <w:bookmarkStart w:id="55" w:name="_Toc8066"/>
      <w:bookmarkStart w:id="56" w:name="_Toc32649"/>
      <w:r>
        <w:rPr>
          <w:rFonts w:ascii="黑体" w:hAnsi="黑体" w:eastAsia="黑体" w:cs="黑体"/>
          <w:sz w:val="30"/>
          <w:szCs w:val="30"/>
          <w:lang w:val="zh-CN"/>
        </w:rPr>
        <w:t>（一）自评结果</w:t>
      </w:r>
      <w:bookmarkEnd w:id="54"/>
      <w:bookmarkEnd w:id="55"/>
      <w:bookmarkEnd w:id="56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ascii="仿宋_GB2312" w:hAnsi="仿宋_GB2312" w:eastAsia="仿宋_GB2312" w:cs="仿宋_GB2312"/>
          <w:sz w:val="32"/>
          <w:szCs w:val="32"/>
          <w:lang w:val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《三门峡市财政局关于开展202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年度市级预算绩效自评工作的通知》（三财效〔202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〕3号）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相关规定，绩效评价结果实行百分制和四级分类，分别是：90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-100分为优、80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90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分为良、60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含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）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80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分为中、</w:t>
      </w:r>
      <w:r>
        <w:rPr>
          <w:rFonts w:hint="eastAsia" w:ascii="仿宋_GB2312" w:hAnsi="仿宋_GB2312" w:eastAsia="仿宋_GB2312" w:cs="仿宋_GB2312"/>
          <w:sz w:val="32"/>
          <w:szCs w:val="32"/>
        </w:rPr>
        <w:t>60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分</w:t>
      </w:r>
      <w:r>
        <w:rPr>
          <w:rFonts w:hint="eastAsia" w:ascii="仿宋_GB2312" w:hAnsi="仿宋_GB2312" w:eastAsia="仿宋_GB2312" w:cs="仿宋_GB2312"/>
          <w:sz w:val="32"/>
          <w:szCs w:val="32"/>
        </w:rPr>
        <w:t>以下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为差。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我单位通过对本项目调查研究、座谈、查阅相关资料，根据相关政策要求进行打分，最终项目自评价得分为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分，评价结果为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  <w:bookmarkStart w:id="57" w:name="_Toc16764"/>
    </w:p>
    <w:bookmarkEnd w:id="57"/>
    <w:p>
      <w:pPr>
        <w:pStyle w:val="4"/>
        <w:keepNext w:val="0"/>
        <w:keepLines w:val="0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58" w:name="_Toc29526"/>
      <w:bookmarkStart w:id="59" w:name="_Toc6497"/>
      <w:bookmarkStart w:id="60" w:name="_Toc11209"/>
      <w:r>
        <w:rPr>
          <w:rFonts w:ascii="黑体" w:hAnsi="黑体" w:eastAsia="黑体" w:cs="黑体"/>
          <w:sz w:val="32"/>
          <w:szCs w:val="32"/>
          <w:lang w:val="zh-CN"/>
        </w:rPr>
        <w:t>自评发现的问题及整改措施</w:t>
      </w:r>
      <w:bookmarkEnd w:id="58"/>
      <w:bookmarkEnd w:id="59"/>
      <w:bookmarkEnd w:id="60"/>
      <w:bookmarkStart w:id="77" w:name="_GoBack"/>
      <w:bookmarkEnd w:id="77"/>
      <w:bookmarkStart w:id="61" w:name="_Toc17190"/>
      <w:bookmarkStart w:id="62" w:name="_Toc9511"/>
    </w:p>
    <w:bookmarkEnd w:id="61"/>
    <w:bookmarkEnd w:id="62"/>
    <w:p>
      <w:pPr>
        <w:ind w:firstLine="640" w:firstLineChars="200"/>
        <w:rPr>
          <w:rFonts w:cs="黑体" w:asciiTheme="minorEastAsia" w:hAnsiTheme="minorEastAsia"/>
          <w:b/>
          <w:bCs/>
          <w:color w:val="000000"/>
          <w:sz w:val="32"/>
          <w:szCs w:val="32"/>
        </w:rPr>
      </w:pPr>
      <w:bookmarkStart w:id="63" w:name="_Toc23893"/>
      <w:bookmarkStart w:id="64" w:name="_Toc20854"/>
      <w:bookmarkStart w:id="65" w:name="_Toc21336"/>
      <w:bookmarkStart w:id="66" w:name="_Toc30248"/>
      <w:r>
        <w:rPr>
          <w:rFonts w:ascii="仿宋_GB2312" w:hAnsi="仿宋_GB2312" w:eastAsia="仿宋_GB2312" w:cs="仿宋_GB2312"/>
          <w:sz w:val="32"/>
          <w:szCs w:val="32"/>
          <w:lang w:val="zh-CN"/>
        </w:rPr>
        <w:t>发现的问题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：</w:t>
      </w:r>
      <w:bookmarkEnd w:id="63"/>
      <w:bookmarkEnd w:id="64"/>
      <w:bookmarkEnd w:id="65"/>
      <w:bookmarkEnd w:id="66"/>
      <w:r>
        <w:rPr>
          <w:rFonts w:hint="eastAsia" w:ascii="仿宋_GB2312" w:hAnsi="微软雅黑" w:eastAsia="仿宋_GB2312"/>
          <w:color w:val="333333"/>
          <w:sz w:val="32"/>
          <w:szCs w:val="32"/>
        </w:rPr>
        <w:t>一是自评打分缺少有力的材料佐证，随意性较大，自评满分率高；二是自评报告以反映项目实施依据、实施内容及具体支出金额和预算执行率为主，没有深入查找剖析项目实施过程中存在的问题,并提出相对应的改进措施；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整改措施：</w:t>
      </w:r>
      <w:r>
        <w:rPr>
          <w:rFonts w:ascii="仿宋_GB2312" w:hAnsi="仿宋_GB2312" w:eastAsia="仿宋_GB2312" w:cs="仿宋_GB2312"/>
          <w:sz w:val="32"/>
          <w:szCs w:val="32"/>
          <w:lang w:val="zh-CN"/>
        </w:rPr>
        <w:t>科学制定绩效目标，参照历史数据、行业标准、计划标准等数据资料，设置指向明确、细化量化、合理可行、相应匹配的绩效目标，为后期开展绩效监控和评价提供基础支撑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。</w:t>
      </w:r>
    </w:p>
    <w:p>
      <w:pPr>
        <w:pStyle w:val="4"/>
        <w:keepNext w:val="0"/>
        <w:keepLines w:val="0"/>
        <w:numPr>
          <w:ilvl w:val="0"/>
          <w:numId w:val="1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bookmarkStart w:id="67" w:name="_Toc31923"/>
      <w:bookmarkStart w:id="68" w:name="_Toc19784"/>
      <w:bookmarkStart w:id="69" w:name="_Toc16509"/>
      <w:r>
        <w:rPr>
          <w:rFonts w:ascii="黑体" w:hAnsi="黑体" w:eastAsia="黑体" w:cs="黑体"/>
          <w:sz w:val="32"/>
          <w:szCs w:val="32"/>
          <w:lang w:val="zh-CN"/>
        </w:rPr>
        <w:t>绩效自评工作建议及预算安排建议</w:t>
      </w:r>
      <w:bookmarkEnd w:id="67"/>
      <w:bookmarkEnd w:id="68"/>
      <w:bookmarkEnd w:id="69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70" w:name="_Toc6756"/>
      <w:bookmarkStart w:id="71" w:name="_Toc4014"/>
      <w:bookmarkStart w:id="72" w:name="_Toc7334"/>
      <w:r>
        <w:rPr>
          <w:rFonts w:hint="eastAsia" w:ascii="仿宋_GB2312" w:hAnsi="仿宋_GB2312" w:eastAsia="仿宋_GB2312" w:cs="仿宋_GB2312"/>
          <w:sz w:val="32"/>
          <w:szCs w:val="32"/>
        </w:rPr>
        <w:t>建议财政部门加强领导和指导、帮扶项目实施单位开展好相关工作，完善好相关制度、合理单位编制预算。</w:t>
      </w:r>
    </w:p>
    <w:p>
      <w:pPr>
        <w:pStyle w:val="4"/>
        <w:keepNext w:val="0"/>
        <w:keepLines w:val="0"/>
        <w:numPr>
          <w:ilvl w:val="0"/>
          <w:numId w:val="2"/>
        </w:numPr>
        <w:spacing w:before="0" w:after="0" w:line="360" w:lineRule="auto"/>
        <w:rPr>
          <w:rFonts w:ascii="黑体" w:hAnsi="黑体" w:eastAsia="黑体" w:cs="黑体"/>
          <w:sz w:val="32"/>
          <w:szCs w:val="32"/>
          <w:lang w:val="zh-CN"/>
        </w:rPr>
      </w:pPr>
      <w:r>
        <w:rPr>
          <w:rFonts w:ascii="黑体" w:hAnsi="黑体" w:eastAsia="黑体" w:cs="黑体"/>
          <w:sz w:val="32"/>
          <w:szCs w:val="32"/>
          <w:lang w:val="zh-CN"/>
        </w:rPr>
        <w:t>其他需要说明的问题</w:t>
      </w:r>
      <w:bookmarkEnd w:id="70"/>
      <w:bookmarkEnd w:id="71"/>
      <w:bookmarkEnd w:id="72"/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73" w:name="_Toc10246"/>
      <w:bookmarkStart w:id="74" w:name="_Toc32568"/>
      <w:r>
        <w:rPr>
          <w:rFonts w:hint="eastAsia" w:ascii="仿宋_GB2312" w:hAnsi="仿宋_GB2312" w:eastAsia="仿宋_GB2312" w:cs="仿宋_GB2312"/>
          <w:sz w:val="32"/>
          <w:szCs w:val="32"/>
        </w:rPr>
        <w:t>需要说明的是：受多种因素影响，部分指标值难以考察取证</w:t>
      </w:r>
      <w:bookmarkEnd w:id="73"/>
      <w:bookmarkStart w:id="75" w:name="_Toc7176"/>
      <w:bookmarkStart w:id="76" w:name="_Toc12241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End w:id="74"/>
    </w:p>
    <w:bookmarkEnd w:id="75"/>
    <w:bookmarkEnd w:id="76"/>
    <w:p>
      <w:pPr>
        <w:jc w:val="center"/>
        <w:outlineLvl w:val="0"/>
        <w:rPr>
          <w:rFonts w:ascii="仿宋" w:hAnsi="仿宋" w:eastAsia="仿宋" w:cs="仿宋"/>
          <w:b/>
          <w:bCs/>
          <w:sz w:val="22"/>
          <w:szCs w:val="22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0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784B2E0"/>
    <w:multiLevelType w:val="singleLevel"/>
    <w:tmpl w:val="C784B2E0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B5CFF8A"/>
    <w:multiLevelType w:val="singleLevel"/>
    <w:tmpl w:val="7B5CFF8A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5264C"/>
    <w:rsid w:val="0055721E"/>
    <w:rsid w:val="006225BA"/>
    <w:rsid w:val="009E31A3"/>
    <w:rsid w:val="00D403CC"/>
    <w:rsid w:val="00EB680C"/>
    <w:rsid w:val="01CD24AB"/>
    <w:rsid w:val="01D11DD0"/>
    <w:rsid w:val="03687896"/>
    <w:rsid w:val="03A74472"/>
    <w:rsid w:val="03CF39B3"/>
    <w:rsid w:val="03E3527A"/>
    <w:rsid w:val="03FB180A"/>
    <w:rsid w:val="0475434D"/>
    <w:rsid w:val="04E85A96"/>
    <w:rsid w:val="05310285"/>
    <w:rsid w:val="05DF2613"/>
    <w:rsid w:val="05E94B02"/>
    <w:rsid w:val="06022C39"/>
    <w:rsid w:val="06241739"/>
    <w:rsid w:val="06403200"/>
    <w:rsid w:val="067D4911"/>
    <w:rsid w:val="06CD2CAD"/>
    <w:rsid w:val="06D44DB6"/>
    <w:rsid w:val="073C001E"/>
    <w:rsid w:val="076D7ABD"/>
    <w:rsid w:val="07EC720E"/>
    <w:rsid w:val="09517008"/>
    <w:rsid w:val="09520821"/>
    <w:rsid w:val="0B0A783A"/>
    <w:rsid w:val="0B1C0210"/>
    <w:rsid w:val="0B714783"/>
    <w:rsid w:val="0BA212E3"/>
    <w:rsid w:val="0BDB688F"/>
    <w:rsid w:val="0C1D2D9B"/>
    <w:rsid w:val="0C2B3B54"/>
    <w:rsid w:val="0D5B101A"/>
    <w:rsid w:val="0DAC117D"/>
    <w:rsid w:val="0DC63D28"/>
    <w:rsid w:val="0E00771B"/>
    <w:rsid w:val="0E243570"/>
    <w:rsid w:val="0E9C42BC"/>
    <w:rsid w:val="0EDC6DE7"/>
    <w:rsid w:val="0EF760A8"/>
    <w:rsid w:val="0F0A5349"/>
    <w:rsid w:val="0F386323"/>
    <w:rsid w:val="100C1C87"/>
    <w:rsid w:val="102A6D5E"/>
    <w:rsid w:val="10403E70"/>
    <w:rsid w:val="11181DA8"/>
    <w:rsid w:val="114558BD"/>
    <w:rsid w:val="11BE372B"/>
    <w:rsid w:val="11D94FBF"/>
    <w:rsid w:val="11DF7AA5"/>
    <w:rsid w:val="11EC2F93"/>
    <w:rsid w:val="121E4775"/>
    <w:rsid w:val="13326DFA"/>
    <w:rsid w:val="13663A30"/>
    <w:rsid w:val="13A84A9A"/>
    <w:rsid w:val="13C60661"/>
    <w:rsid w:val="14135BEE"/>
    <w:rsid w:val="142A71C6"/>
    <w:rsid w:val="143049A4"/>
    <w:rsid w:val="1441546C"/>
    <w:rsid w:val="14AC70A9"/>
    <w:rsid w:val="14BD44C7"/>
    <w:rsid w:val="14DE3D76"/>
    <w:rsid w:val="14E93293"/>
    <w:rsid w:val="1512287B"/>
    <w:rsid w:val="15446D6C"/>
    <w:rsid w:val="155B3210"/>
    <w:rsid w:val="15C00483"/>
    <w:rsid w:val="15C71E5A"/>
    <w:rsid w:val="15EB0E81"/>
    <w:rsid w:val="15F135FB"/>
    <w:rsid w:val="16A86570"/>
    <w:rsid w:val="16AE72D0"/>
    <w:rsid w:val="178B4BED"/>
    <w:rsid w:val="17A009E3"/>
    <w:rsid w:val="18074165"/>
    <w:rsid w:val="18180FA8"/>
    <w:rsid w:val="18570359"/>
    <w:rsid w:val="186672B8"/>
    <w:rsid w:val="186944EF"/>
    <w:rsid w:val="19357C12"/>
    <w:rsid w:val="196138D2"/>
    <w:rsid w:val="19953697"/>
    <w:rsid w:val="19BA43E3"/>
    <w:rsid w:val="1A4450BF"/>
    <w:rsid w:val="1AC12C79"/>
    <w:rsid w:val="1ADF6535"/>
    <w:rsid w:val="1AF11A8C"/>
    <w:rsid w:val="1B7911A5"/>
    <w:rsid w:val="1B8B0E1E"/>
    <w:rsid w:val="1BFD0F60"/>
    <w:rsid w:val="1C29383C"/>
    <w:rsid w:val="1C48271E"/>
    <w:rsid w:val="1D47313A"/>
    <w:rsid w:val="1D676463"/>
    <w:rsid w:val="1DC41A36"/>
    <w:rsid w:val="1DFC4D2D"/>
    <w:rsid w:val="1E216956"/>
    <w:rsid w:val="1E7C7AF5"/>
    <w:rsid w:val="1EA51E7C"/>
    <w:rsid w:val="1EC01BD4"/>
    <w:rsid w:val="1F3A1FDC"/>
    <w:rsid w:val="1F6E60BF"/>
    <w:rsid w:val="1FA65F70"/>
    <w:rsid w:val="1FFB2D1C"/>
    <w:rsid w:val="20E32BEF"/>
    <w:rsid w:val="212C46B1"/>
    <w:rsid w:val="21ED3453"/>
    <w:rsid w:val="21EE6A3C"/>
    <w:rsid w:val="22715B15"/>
    <w:rsid w:val="23AC70BE"/>
    <w:rsid w:val="24033141"/>
    <w:rsid w:val="24F0687F"/>
    <w:rsid w:val="25795502"/>
    <w:rsid w:val="25AB5C72"/>
    <w:rsid w:val="266D3B8D"/>
    <w:rsid w:val="2673135B"/>
    <w:rsid w:val="274970C1"/>
    <w:rsid w:val="288C42DB"/>
    <w:rsid w:val="2B147896"/>
    <w:rsid w:val="2B25139B"/>
    <w:rsid w:val="2B424556"/>
    <w:rsid w:val="2CC11655"/>
    <w:rsid w:val="2CF66F3B"/>
    <w:rsid w:val="2D96497A"/>
    <w:rsid w:val="2DFC3ABA"/>
    <w:rsid w:val="2E3B1D53"/>
    <w:rsid w:val="2E874CFC"/>
    <w:rsid w:val="2ED70AD7"/>
    <w:rsid w:val="2F4D5996"/>
    <w:rsid w:val="2F7A178E"/>
    <w:rsid w:val="2FDE5397"/>
    <w:rsid w:val="2FE87747"/>
    <w:rsid w:val="30593884"/>
    <w:rsid w:val="308527DF"/>
    <w:rsid w:val="3088385B"/>
    <w:rsid w:val="30B9326C"/>
    <w:rsid w:val="31442906"/>
    <w:rsid w:val="318B0952"/>
    <w:rsid w:val="319558F3"/>
    <w:rsid w:val="31DF7CC7"/>
    <w:rsid w:val="31F4524C"/>
    <w:rsid w:val="31FD63AA"/>
    <w:rsid w:val="3229235E"/>
    <w:rsid w:val="3229411A"/>
    <w:rsid w:val="322D471F"/>
    <w:rsid w:val="32870C13"/>
    <w:rsid w:val="32C318DF"/>
    <w:rsid w:val="33481B81"/>
    <w:rsid w:val="335509C7"/>
    <w:rsid w:val="34801387"/>
    <w:rsid w:val="35323F4D"/>
    <w:rsid w:val="35F5341F"/>
    <w:rsid w:val="364D7507"/>
    <w:rsid w:val="368010A5"/>
    <w:rsid w:val="36853699"/>
    <w:rsid w:val="36F95D7D"/>
    <w:rsid w:val="37113F81"/>
    <w:rsid w:val="383E476D"/>
    <w:rsid w:val="38587408"/>
    <w:rsid w:val="38774D48"/>
    <w:rsid w:val="38CC5ED8"/>
    <w:rsid w:val="3902565F"/>
    <w:rsid w:val="39694146"/>
    <w:rsid w:val="3B70590B"/>
    <w:rsid w:val="3B837370"/>
    <w:rsid w:val="3B8E0BEC"/>
    <w:rsid w:val="3BD85480"/>
    <w:rsid w:val="3C1259C9"/>
    <w:rsid w:val="3C21355B"/>
    <w:rsid w:val="3C9B0FCA"/>
    <w:rsid w:val="3D162FD9"/>
    <w:rsid w:val="3D606B02"/>
    <w:rsid w:val="3DB053D5"/>
    <w:rsid w:val="3DBB4886"/>
    <w:rsid w:val="3DEA26E4"/>
    <w:rsid w:val="3E643229"/>
    <w:rsid w:val="3E873D85"/>
    <w:rsid w:val="3EE01EF4"/>
    <w:rsid w:val="3FC65CE4"/>
    <w:rsid w:val="3FFD4C51"/>
    <w:rsid w:val="404D4025"/>
    <w:rsid w:val="408D3727"/>
    <w:rsid w:val="40F2114B"/>
    <w:rsid w:val="4162246E"/>
    <w:rsid w:val="419E0086"/>
    <w:rsid w:val="41B94BAA"/>
    <w:rsid w:val="41B94E6B"/>
    <w:rsid w:val="41BA54AD"/>
    <w:rsid w:val="41DA5F81"/>
    <w:rsid w:val="426274DE"/>
    <w:rsid w:val="438F1213"/>
    <w:rsid w:val="43EF7CB6"/>
    <w:rsid w:val="441214EF"/>
    <w:rsid w:val="44A76620"/>
    <w:rsid w:val="44C9039D"/>
    <w:rsid w:val="45A21C1C"/>
    <w:rsid w:val="45DB5816"/>
    <w:rsid w:val="463955F5"/>
    <w:rsid w:val="467F19D6"/>
    <w:rsid w:val="46F53775"/>
    <w:rsid w:val="470B471F"/>
    <w:rsid w:val="47237B65"/>
    <w:rsid w:val="475C1AA9"/>
    <w:rsid w:val="47AC6349"/>
    <w:rsid w:val="47B41DDF"/>
    <w:rsid w:val="47B9772E"/>
    <w:rsid w:val="47EA4F22"/>
    <w:rsid w:val="48316427"/>
    <w:rsid w:val="487A1FC6"/>
    <w:rsid w:val="491C4AEB"/>
    <w:rsid w:val="492B5C25"/>
    <w:rsid w:val="49395B00"/>
    <w:rsid w:val="496C68DE"/>
    <w:rsid w:val="4A257AB1"/>
    <w:rsid w:val="4A5C7F26"/>
    <w:rsid w:val="4ABA4758"/>
    <w:rsid w:val="4AFF07C1"/>
    <w:rsid w:val="4C2B3CBB"/>
    <w:rsid w:val="4C8B6AFC"/>
    <w:rsid w:val="4CCB70EA"/>
    <w:rsid w:val="4D656886"/>
    <w:rsid w:val="4DCD728F"/>
    <w:rsid w:val="4E1229E8"/>
    <w:rsid w:val="4EE84F7D"/>
    <w:rsid w:val="4F261EF2"/>
    <w:rsid w:val="4F3F1FEB"/>
    <w:rsid w:val="4FAD44DF"/>
    <w:rsid w:val="508005C7"/>
    <w:rsid w:val="50963008"/>
    <w:rsid w:val="50D26009"/>
    <w:rsid w:val="512F199A"/>
    <w:rsid w:val="515E556F"/>
    <w:rsid w:val="51CE5D14"/>
    <w:rsid w:val="521774C0"/>
    <w:rsid w:val="523F7E77"/>
    <w:rsid w:val="526A022B"/>
    <w:rsid w:val="52942ED4"/>
    <w:rsid w:val="52FE679A"/>
    <w:rsid w:val="53635160"/>
    <w:rsid w:val="53F02BBD"/>
    <w:rsid w:val="54087C43"/>
    <w:rsid w:val="54151AB3"/>
    <w:rsid w:val="547C2982"/>
    <w:rsid w:val="54D12A5B"/>
    <w:rsid w:val="553A3D22"/>
    <w:rsid w:val="553D7376"/>
    <w:rsid w:val="555C7E27"/>
    <w:rsid w:val="56EA0736"/>
    <w:rsid w:val="56F72425"/>
    <w:rsid w:val="56F94133"/>
    <w:rsid w:val="570730E6"/>
    <w:rsid w:val="573D02BD"/>
    <w:rsid w:val="57546843"/>
    <w:rsid w:val="57D22477"/>
    <w:rsid w:val="5807089E"/>
    <w:rsid w:val="581B3AC4"/>
    <w:rsid w:val="58270281"/>
    <w:rsid w:val="58836238"/>
    <w:rsid w:val="589247BF"/>
    <w:rsid w:val="58BF2BBA"/>
    <w:rsid w:val="58C3256A"/>
    <w:rsid w:val="58C80F7B"/>
    <w:rsid w:val="58E24971"/>
    <w:rsid w:val="59964EC4"/>
    <w:rsid w:val="59CA1E32"/>
    <w:rsid w:val="5A9D143D"/>
    <w:rsid w:val="5AE66300"/>
    <w:rsid w:val="5BA34E14"/>
    <w:rsid w:val="5BBA585B"/>
    <w:rsid w:val="5BF472B6"/>
    <w:rsid w:val="5C9E6E6F"/>
    <w:rsid w:val="5CAC7222"/>
    <w:rsid w:val="5CC9121A"/>
    <w:rsid w:val="5D2A03F6"/>
    <w:rsid w:val="5DAE6520"/>
    <w:rsid w:val="5DB30328"/>
    <w:rsid w:val="5DCF0D9F"/>
    <w:rsid w:val="5E250CB8"/>
    <w:rsid w:val="5E370097"/>
    <w:rsid w:val="5E3D49B5"/>
    <w:rsid w:val="5E6922B4"/>
    <w:rsid w:val="5E9667BD"/>
    <w:rsid w:val="5EAB68AB"/>
    <w:rsid w:val="5EF73BE2"/>
    <w:rsid w:val="5F3D3065"/>
    <w:rsid w:val="603E500E"/>
    <w:rsid w:val="608A1152"/>
    <w:rsid w:val="608B20EF"/>
    <w:rsid w:val="60967BC8"/>
    <w:rsid w:val="609D521D"/>
    <w:rsid w:val="61382481"/>
    <w:rsid w:val="61897905"/>
    <w:rsid w:val="61BF196A"/>
    <w:rsid w:val="61F11689"/>
    <w:rsid w:val="61F873E4"/>
    <w:rsid w:val="62600656"/>
    <w:rsid w:val="62A44963"/>
    <w:rsid w:val="631349E3"/>
    <w:rsid w:val="631E05FA"/>
    <w:rsid w:val="63436BA2"/>
    <w:rsid w:val="634376F7"/>
    <w:rsid w:val="63D85F0D"/>
    <w:rsid w:val="644A363D"/>
    <w:rsid w:val="65900A51"/>
    <w:rsid w:val="659C3396"/>
    <w:rsid w:val="65FC37D4"/>
    <w:rsid w:val="665935D9"/>
    <w:rsid w:val="66DA6564"/>
    <w:rsid w:val="677A24B6"/>
    <w:rsid w:val="68503E83"/>
    <w:rsid w:val="68781637"/>
    <w:rsid w:val="687A78F9"/>
    <w:rsid w:val="68CE1443"/>
    <w:rsid w:val="69124FDF"/>
    <w:rsid w:val="69901EC0"/>
    <w:rsid w:val="69CA49FB"/>
    <w:rsid w:val="6A043746"/>
    <w:rsid w:val="6A5357A1"/>
    <w:rsid w:val="6A78052C"/>
    <w:rsid w:val="6A875334"/>
    <w:rsid w:val="6A884503"/>
    <w:rsid w:val="6AC5360B"/>
    <w:rsid w:val="6ADF0274"/>
    <w:rsid w:val="6AFC6911"/>
    <w:rsid w:val="6B1B61E1"/>
    <w:rsid w:val="6B206B79"/>
    <w:rsid w:val="6B8F16DB"/>
    <w:rsid w:val="6BC85164"/>
    <w:rsid w:val="6BFB6BCB"/>
    <w:rsid w:val="6C842205"/>
    <w:rsid w:val="6D225641"/>
    <w:rsid w:val="6E0B664E"/>
    <w:rsid w:val="6E722F0C"/>
    <w:rsid w:val="6E8225F1"/>
    <w:rsid w:val="6F472C16"/>
    <w:rsid w:val="6F9718E7"/>
    <w:rsid w:val="6FD05487"/>
    <w:rsid w:val="70862B44"/>
    <w:rsid w:val="70C3452F"/>
    <w:rsid w:val="71356FE0"/>
    <w:rsid w:val="718805D0"/>
    <w:rsid w:val="72CC0D0F"/>
    <w:rsid w:val="73194F5F"/>
    <w:rsid w:val="731E1707"/>
    <w:rsid w:val="73C72D5A"/>
    <w:rsid w:val="73F551D4"/>
    <w:rsid w:val="743C7925"/>
    <w:rsid w:val="7449202E"/>
    <w:rsid w:val="74883D40"/>
    <w:rsid w:val="74A72714"/>
    <w:rsid w:val="74ED7A64"/>
    <w:rsid w:val="74F22980"/>
    <w:rsid w:val="754822C9"/>
    <w:rsid w:val="7549328A"/>
    <w:rsid w:val="757E669A"/>
    <w:rsid w:val="765561D3"/>
    <w:rsid w:val="767F3925"/>
    <w:rsid w:val="76E55379"/>
    <w:rsid w:val="772050C3"/>
    <w:rsid w:val="773D4564"/>
    <w:rsid w:val="776948CD"/>
    <w:rsid w:val="77C57565"/>
    <w:rsid w:val="77F814DF"/>
    <w:rsid w:val="78746F95"/>
    <w:rsid w:val="78B6314A"/>
    <w:rsid w:val="79181E93"/>
    <w:rsid w:val="7921275B"/>
    <w:rsid w:val="79905BFC"/>
    <w:rsid w:val="799C1979"/>
    <w:rsid w:val="79E41632"/>
    <w:rsid w:val="7A3D329F"/>
    <w:rsid w:val="7A620D4B"/>
    <w:rsid w:val="7A9E7695"/>
    <w:rsid w:val="7AA11E6E"/>
    <w:rsid w:val="7AA60219"/>
    <w:rsid w:val="7B71655A"/>
    <w:rsid w:val="7B8168E2"/>
    <w:rsid w:val="7C745F09"/>
    <w:rsid w:val="7CA377F5"/>
    <w:rsid w:val="7D2726CD"/>
    <w:rsid w:val="7D2F6FEA"/>
    <w:rsid w:val="7D347EF8"/>
    <w:rsid w:val="7E7D369D"/>
    <w:rsid w:val="7EBE117D"/>
    <w:rsid w:val="7EC22AF7"/>
    <w:rsid w:val="7F2C50E9"/>
    <w:rsid w:val="7F442C7A"/>
    <w:rsid w:val="7FCA4AA4"/>
    <w:rsid w:val="7FD7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5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2"/>
    <w:basedOn w:val="1"/>
    <w:next w:val="6"/>
    <w:link w:val="19"/>
    <w:unhideWhenUsed/>
    <w:qFormat/>
    <w:uiPriority w:val="0"/>
    <w:pPr>
      <w:keepNext/>
      <w:keepLines/>
      <w:adjustRightInd w:val="0"/>
      <w:snapToGrid w:val="0"/>
      <w:spacing w:before="100" w:after="100" w:line="360" w:lineRule="auto"/>
      <w:outlineLvl w:val="1"/>
    </w:pPr>
    <w:rPr>
      <w:rFonts w:ascii="Times New Roman" w:hAnsi="Times New Roman" w:eastAsia="仿宋" w:cs="Times New Roman"/>
      <w:b/>
      <w:sz w:val="32"/>
      <w:szCs w:val="32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adjustRightInd w:val="0"/>
      <w:snapToGrid w:val="0"/>
      <w:spacing w:before="100" w:after="100" w:line="360" w:lineRule="auto"/>
      <w:ind w:firstLine="560" w:firstLineChars="200"/>
      <w:outlineLvl w:val="2"/>
    </w:pPr>
    <w:rPr>
      <w:rFonts w:ascii="Times New Roman" w:hAnsi="Times New Roman" w:eastAsia="仿宋" w:cs="Times New Roman"/>
      <w:b/>
      <w:sz w:val="30"/>
      <w:szCs w:val="30"/>
    </w:rPr>
  </w:style>
  <w:style w:type="paragraph" w:styleId="7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styleId="3">
    <w:name w:val="Body Text 2"/>
    <w:basedOn w:val="1"/>
    <w:qFormat/>
    <w:uiPriority w:val="0"/>
    <w:pPr>
      <w:spacing w:after="120" w:line="480" w:lineRule="auto"/>
    </w:p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toc 2"/>
    <w:basedOn w:val="1"/>
    <w:next w:val="1"/>
    <w:qFormat/>
    <w:uiPriority w:val="0"/>
    <w:pPr>
      <w:ind w:left="420" w:leftChars="200"/>
    </w:pPr>
  </w:style>
  <w:style w:type="paragraph" w:styleId="1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4">
    <w:name w:val="Body Text First Indent"/>
    <w:basedOn w:val="2"/>
    <w:qFormat/>
    <w:uiPriority w:val="0"/>
    <w:pPr>
      <w:ind w:firstLine="420" w:firstLineChars="100"/>
    </w:pPr>
  </w:style>
  <w:style w:type="table" w:styleId="16">
    <w:name w:val="Table Grid"/>
    <w:basedOn w:val="1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8">
    <w:name w:val="Strong"/>
    <w:basedOn w:val="17"/>
    <w:qFormat/>
    <w:uiPriority w:val="0"/>
    <w:rPr>
      <w:b/>
    </w:rPr>
  </w:style>
  <w:style w:type="character" w:customStyle="1" w:styleId="19">
    <w:name w:val="标题 2 字符"/>
    <w:link w:val="5"/>
    <w:qFormat/>
    <w:uiPriority w:val="9"/>
    <w:rPr>
      <w:rFonts w:ascii="Times New Roman" w:hAnsi="Times New Roman" w:eastAsia="仿宋" w:cs="Times New Roman"/>
      <w:b/>
      <w:sz w:val="32"/>
      <w:szCs w:val="32"/>
    </w:rPr>
  </w:style>
  <w:style w:type="character" w:customStyle="1" w:styleId="20">
    <w:name w:val="font21"/>
    <w:basedOn w:val="17"/>
    <w:qFormat/>
    <w:uiPriority w:val="0"/>
    <w:rPr>
      <w:rFonts w:hint="eastAsia" w:ascii="黑体" w:hAnsi="宋体" w:eastAsia="黑体" w:cs="黑体"/>
      <w:color w:val="000000"/>
      <w:sz w:val="13"/>
      <w:szCs w:val="13"/>
      <w:u w:val="none"/>
    </w:rPr>
  </w:style>
  <w:style w:type="character" w:customStyle="1" w:styleId="21">
    <w:name w:val="font11"/>
    <w:basedOn w:val="17"/>
    <w:qFormat/>
    <w:uiPriority w:val="0"/>
    <w:rPr>
      <w:rFonts w:hint="default" w:ascii="Times New Roman" w:hAnsi="Times New Roman" w:cs="Times New Roman"/>
      <w:color w:val="000000"/>
      <w:sz w:val="13"/>
      <w:szCs w:val="13"/>
      <w:u w:val="none"/>
    </w:rPr>
  </w:style>
  <w:style w:type="character" w:customStyle="1" w:styleId="22">
    <w:name w:val="font51"/>
    <w:basedOn w:val="17"/>
    <w:qFormat/>
    <w:uiPriority w:val="0"/>
    <w:rPr>
      <w:rFonts w:hint="eastAsia" w:ascii="黑体" w:hAnsi="宋体" w:eastAsia="黑体" w:cs="黑体"/>
      <w:color w:val="000000"/>
      <w:sz w:val="13"/>
      <w:szCs w:val="13"/>
      <w:u w:val="none"/>
      <w:vertAlign w:val="superscript"/>
    </w:rPr>
  </w:style>
  <w:style w:type="character" w:customStyle="1" w:styleId="23">
    <w:name w:val="font4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24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25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26">
    <w:name w:val="表头"/>
    <w:basedOn w:val="1"/>
    <w:next w:val="1"/>
    <w:qFormat/>
    <w:uiPriority w:val="0"/>
    <w:pPr>
      <w:adjustRightInd w:val="0"/>
      <w:snapToGrid w:val="0"/>
      <w:spacing w:before="100" w:after="100" w:line="360" w:lineRule="auto"/>
      <w:jc w:val="center"/>
    </w:pPr>
    <w:rPr>
      <w:rFonts w:ascii="Times New Roman" w:hAnsi="Times New Roman" w:eastAsia="仿宋" w:cs="Times New Roman"/>
      <w:b/>
      <w:sz w:val="28"/>
      <w:szCs w:val="28"/>
    </w:rPr>
  </w:style>
  <w:style w:type="character" w:customStyle="1" w:styleId="27">
    <w:name w:val="font71"/>
    <w:basedOn w:val="1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837</Words>
  <Characters>4773</Characters>
  <Lines>39</Lines>
  <Paragraphs>11</Paragraphs>
  <TotalTime>11</TotalTime>
  <ScaleCrop>false</ScaleCrop>
  <LinksUpToDate>false</LinksUpToDate>
  <CharactersWithSpaces>5599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2021-05-19T12:19:00Z</dcterms:created>
  <dc:creator>Administrator</dc:creator>
  <cp:lastModifiedBy>Administrator</cp:lastModifiedBy>
  <dcterms:modified xsi:type="dcterms:W3CDTF">2022-04-25T08:00:51Z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4B3C4B1663154315AE62B466B1CA8016</vt:lpwstr>
  </property>
</Properties>
</file>