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1"/>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r>
            <w:fldChar w:fldCharType="begin"/>
          </w:r>
          <w:r>
            <w:instrText xml:space="preserve"> HYPERLINK \l "_Toc21141"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_Toc21141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"_Toc26247"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_Toc26247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"_Toc14655"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_Toc14655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"_Toc23837"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_Toc23837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"_Toc1635"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_Toc1635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"_Toc20769"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_Toc20769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"_Toc19875"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_Toc19875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"_Toc28827"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_Toc28827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"_Toc29228"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_Toc29228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"_Toc21049"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_Toc21049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"_Toc22344"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_Toc22344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"_Toc7720"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_Toc7720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"_Toc6853"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_Toc6853 \h </w:instrText>
          </w:r>
          <w:r>
            <w:rPr>
              <w:rFonts w:hint="eastAsia" w:ascii="黑体" w:hAnsi="黑体" w:eastAsia="黑体" w:cs="黑体"/>
              <w:sz w:val="28"/>
              <w:szCs w:val="28"/>
            </w:rPr>
            <w:fldChar w:fldCharType="separate"/>
          </w:r>
          <w:r>
            <w:rPr>
              <w:rFonts w:hint="eastAsia" w:ascii="黑体" w:hAnsi="黑体" w:eastAsia="黑体" w:cs="黑体"/>
              <w:sz w:val="28"/>
              <w:szCs w:val="28"/>
            </w:rPr>
            <w:t>-</w:t>
          </w:r>
          <w:r>
            <w:rPr>
              <w:rFonts w:hint="eastAsia" w:ascii="黑体" w:hAnsi="黑体" w:eastAsia="黑体" w:cs="黑体"/>
              <w:sz w:val="28"/>
              <w:szCs w:val="28"/>
              <w:lang w:val="en-US" w:eastAsia="zh-CN"/>
            </w:rPr>
            <w:t>6</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"_Toc9116"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_Toc9116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"_Toc29064"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_Toc29064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7</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bookmarkStart w:id="2" w:name="_Toc12098"/>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14085"/>
      <w:bookmarkStart w:id="4" w:name="_Toc15802"/>
      <w:bookmarkStart w:id="5" w:name="_Toc851"/>
      <w:bookmarkStart w:id="6" w:name="_Toc31605"/>
      <w:bookmarkStart w:id="7" w:name="_Toc23711"/>
      <w:bookmarkStart w:id="8" w:name="_Toc27784"/>
      <w:bookmarkStart w:id="9" w:name="_Toc24313"/>
      <w:bookmarkStart w:id="10" w:name="_Toc16048"/>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4"/>
        <w:keepNext w:val="0"/>
        <w:keepLines w:val="0"/>
        <w:spacing w:before="0" w:after="0" w:line="360" w:lineRule="auto"/>
        <w:rPr>
          <w:rFonts w:ascii="黑体" w:hAnsi="黑体" w:eastAsia="黑体" w:cs="黑体"/>
          <w:sz w:val="32"/>
          <w:szCs w:val="32"/>
        </w:rPr>
      </w:pPr>
      <w:bookmarkStart w:id="11" w:name="_Toc21141"/>
      <w:bookmarkStart w:id="12" w:name="_Toc13873"/>
      <w:bookmarkStart w:id="13" w:name="_Toc15017"/>
      <w:r>
        <w:rPr>
          <w:rFonts w:hint="eastAsia" w:ascii="黑体" w:hAnsi="黑体" w:eastAsia="黑体" w:cs="黑体"/>
          <w:sz w:val="32"/>
          <w:szCs w:val="32"/>
        </w:rPr>
        <w:t>一、项目支出基本情况</w:t>
      </w:r>
      <w:bookmarkEnd w:id="11"/>
      <w:bookmarkEnd w:id="12"/>
      <w:bookmarkEnd w:id="13"/>
    </w:p>
    <w:p>
      <w:pPr>
        <w:pStyle w:val="5"/>
        <w:keepNext w:val="0"/>
        <w:keepLines w:val="0"/>
        <w:adjustRightInd/>
        <w:snapToGrid/>
        <w:spacing w:before="0" w:after="0"/>
        <w:rPr>
          <w:rFonts w:ascii="黑体" w:hAnsi="黑体" w:eastAsia="黑体" w:cs="黑体"/>
          <w:sz w:val="30"/>
          <w:szCs w:val="30"/>
        </w:rPr>
      </w:pPr>
      <w:bookmarkStart w:id="14" w:name="_Toc19332"/>
      <w:bookmarkStart w:id="15" w:name="_Toc1381"/>
      <w:bookmarkStart w:id="16" w:name="_Toc26247"/>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w:t>
      </w:r>
      <w:r>
        <w:rPr>
          <w:rFonts w:hint="eastAsia" w:ascii="仿宋_GB2312" w:eastAsia="仿宋_GB2312" w:cs="仿宋_GB2312"/>
          <w:sz w:val="32"/>
          <w:szCs w:val="32"/>
          <w:lang w:eastAsia="zh-CN"/>
        </w:rPr>
        <w:t>：</w:t>
      </w:r>
      <w:bookmarkStart w:id="80" w:name="_GoBack"/>
      <w:bookmarkEnd w:id="80"/>
      <w:r>
        <w:rPr>
          <w:rFonts w:hint="eastAsia" w:ascii="仿宋_GB2312" w:eastAsia="仿宋_GB2312" w:cs="仿宋_GB2312"/>
          <w:sz w:val="32"/>
          <w:szCs w:val="32"/>
        </w:rPr>
        <w:t>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市场监管设备购置</w:t>
      </w:r>
      <w:r>
        <w:rPr>
          <w:rFonts w:hint="eastAsia" w:ascii="仿宋_GB2312" w:eastAsia="仿宋_GB2312" w:cs="仿宋_GB2312"/>
          <w:sz w:val="32"/>
          <w:szCs w:val="32"/>
          <w:lang w:eastAsia="zh-CN"/>
        </w:rPr>
        <w:t>费</w:t>
      </w:r>
      <w:r>
        <w:rPr>
          <w:rFonts w:hint="eastAsia" w:ascii="仿宋_GB2312" w:eastAsia="仿宋_GB2312" w:cs="仿宋_GB2312"/>
          <w:sz w:val="32"/>
          <w:szCs w:val="32"/>
        </w:rPr>
        <w:t>年初预算数为</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万元，全年财政拨款</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0万元，全年项目实际支出</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万元，预算执行率100%。</w:t>
      </w:r>
    </w:p>
    <w:p>
      <w:pPr>
        <w:pStyle w:val="5"/>
        <w:keepNext w:val="0"/>
        <w:keepLines w:val="0"/>
        <w:adjustRightInd/>
        <w:snapToGrid/>
        <w:spacing w:before="0" w:after="0"/>
        <w:rPr>
          <w:rFonts w:ascii="黑体" w:hAnsi="黑体" w:eastAsia="黑体" w:cs="黑体"/>
          <w:sz w:val="30"/>
          <w:szCs w:val="30"/>
        </w:rPr>
      </w:pPr>
      <w:bookmarkStart w:id="17" w:name="_Toc14655"/>
      <w:bookmarkStart w:id="18" w:name="_Toc843"/>
      <w:bookmarkStart w:id="19" w:name="_Toc839"/>
      <w:r>
        <w:rPr>
          <w:rFonts w:hint="eastAsia" w:ascii="黑体" w:hAnsi="黑体" w:eastAsia="黑体" w:cs="黑体"/>
          <w:sz w:val="30"/>
          <w:szCs w:val="30"/>
        </w:rPr>
        <w:t>（二）项目内容</w:t>
      </w:r>
      <w:bookmarkEnd w:id="17"/>
      <w:bookmarkEnd w:id="18"/>
      <w:bookmarkEnd w:id="19"/>
    </w:p>
    <w:p>
      <w:pPr>
        <w:spacing w:line="360" w:lineRule="auto"/>
        <w:ind w:firstLine="640" w:firstLineChars="200"/>
        <w:rPr>
          <w:rFonts w:ascii="仿宋_GB2312" w:hAnsi="仿宋_GB2312" w:eastAsia="仿宋_GB2312" w:cs="仿宋_GB2312"/>
          <w:sz w:val="32"/>
          <w:szCs w:val="32"/>
        </w:rPr>
      </w:pPr>
      <w:bookmarkStart w:id="20" w:name="_Toc23203"/>
      <w:bookmarkStart w:id="21" w:name="_Toc18257"/>
      <w:r>
        <w:rPr>
          <w:rFonts w:hint="eastAsia" w:ascii="仿宋_GB2312" w:hAnsi="仿宋_GB2312" w:eastAsia="仿宋_GB2312" w:cs="仿宋_GB2312"/>
          <w:sz w:val="32"/>
          <w:szCs w:val="32"/>
          <w:lang w:val="zh-CN"/>
        </w:rPr>
        <w:t>根据工作需要和固定资产管理规定，通过购置办公家具</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办公自动化设备</w:t>
      </w:r>
      <w:r>
        <w:rPr>
          <w:rFonts w:hint="eastAsia" w:ascii="仿宋_GB2312" w:hAnsi="仿宋_GB2312" w:eastAsia="仿宋_GB2312" w:cs="仿宋_GB2312"/>
          <w:sz w:val="32"/>
          <w:szCs w:val="32"/>
        </w:rPr>
        <w:t>等具体举措，我局的基础设施得到了更替升级，提高了办公效率，全面提升办公环境。为我局立足市场监管职能职责提供</w:t>
      </w:r>
      <w:r>
        <w:rPr>
          <w:rFonts w:hint="eastAsia" w:ascii="仿宋_GB2312" w:hAnsi="仿宋_GB2312" w:eastAsia="仿宋_GB2312" w:cs="仿宋_GB2312"/>
          <w:sz w:val="32"/>
          <w:szCs w:val="32"/>
          <w:lang w:val="zh-CN"/>
        </w:rPr>
        <w:t>保障。</w:t>
      </w:r>
    </w:p>
    <w:p>
      <w:pPr>
        <w:pStyle w:val="5"/>
        <w:keepNext w:val="0"/>
        <w:keepLines w:val="0"/>
        <w:adjustRightInd/>
        <w:snapToGrid/>
        <w:spacing w:before="0" w:after="0"/>
        <w:rPr>
          <w:rFonts w:ascii="黑体" w:hAnsi="黑体" w:eastAsia="黑体" w:cs="黑体"/>
          <w:sz w:val="30"/>
          <w:szCs w:val="30"/>
        </w:rPr>
      </w:pPr>
      <w:bookmarkStart w:id="22" w:name="_Toc23837"/>
      <w:r>
        <w:rPr>
          <w:rFonts w:hint="eastAsia" w:ascii="黑体" w:hAnsi="黑体" w:eastAsia="黑体" w:cs="黑体"/>
          <w:sz w:val="30"/>
          <w:szCs w:val="30"/>
        </w:rPr>
        <w:t>（三）绩效目标批复情况</w:t>
      </w:r>
      <w:bookmarkEnd w:id="20"/>
      <w:bookmarkEnd w:id="21"/>
      <w:bookmarkEnd w:id="2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我部门年度预算后，将绩效目标随部门预算批复我部门；我部门将批复的绩效目标按预算管理级次细化批复到项目科室，并提出绩效管理具体工作要求。</w:t>
      </w:r>
    </w:p>
    <w:p>
      <w:pPr>
        <w:pStyle w:val="4"/>
        <w:keepNext w:val="0"/>
        <w:keepLines w:val="0"/>
        <w:spacing w:before="0" w:after="0" w:line="360" w:lineRule="auto"/>
        <w:rPr>
          <w:rFonts w:ascii="黑体" w:hAnsi="黑体" w:eastAsia="黑体" w:cs="黑体"/>
          <w:sz w:val="32"/>
          <w:szCs w:val="32"/>
        </w:rPr>
      </w:pPr>
      <w:bookmarkStart w:id="23" w:name="_Toc31315"/>
      <w:bookmarkStart w:id="24" w:name="_Toc1635"/>
      <w:bookmarkStart w:id="25" w:name="_Toc26306"/>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5"/>
        <w:keepNext w:val="0"/>
        <w:keepLines w:val="0"/>
        <w:adjustRightInd/>
        <w:snapToGrid/>
        <w:spacing w:before="0" w:after="0"/>
        <w:rPr>
          <w:rFonts w:ascii="黑体" w:hAnsi="黑体" w:eastAsia="黑体" w:cs="黑体"/>
          <w:sz w:val="30"/>
          <w:szCs w:val="30"/>
        </w:rPr>
      </w:pPr>
      <w:bookmarkStart w:id="26" w:name="_Toc12595"/>
      <w:bookmarkStart w:id="27" w:name="_Toc31583"/>
      <w:bookmarkStart w:id="28" w:name="_Toc8544"/>
      <w:bookmarkStart w:id="29" w:name="_Toc20769"/>
      <w:bookmarkStart w:id="30" w:name="_Toc25866"/>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keepNext w:val="0"/>
        <w:keepLines w:val="0"/>
        <w:adjustRightInd/>
        <w:snapToGrid/>
        <w:spacing w:before="0" w:after="0"/>
        <w:rPr>
          <w:rFonts w:ascii="黑体" w:hAnsi="黑体" w:eastAsia="黑体" w:cs="黑体"/>
          <w:sz w:val="30"/>
          <w:szCs w:val="30"/>
        </w:rPr>
      </w:pPr>
      <w:bookmarkStart w:id="31" w:name="_Toc21569"/>
      <w:bookmarkStart w:id="32" w:name="_Toc19875"/>
      <w:bookmarkStart w:id="33" w:name="_Toc26818"/>
      <w:bookmarkStart w:id="34" w:name="_Toc9139"/>
      <w:bookmarkStart w:id="35" w:name="_Toc4202"/>
      <w:r>
        <w:rPr>
          <w:rFonts w:hint="eastAsia" w:ascii="黑体" w:hAnsi="黑体" w:eastAsia="黑体" w:cs="黑体"/>
          <w:sz w:val="30"/>
          <w:szCs w:val="30"/>
        </w:rPr>
        <w:t>（二）绩效自评对象和范围</w:t>
      </w:r>
      <w:bookmarkEnd w:id="31"/>
      <w:bookmarkEnd w:id="32"/>
      <w:bookmarkEnd w:id="33"/>
      <w:bookmarkEnd w:id="34"/>
      <w:bookmarkEnd w:id="3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本次绩效自评对象为三门峡市市场监督管理局，202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年实施市场监管办公设备及信息化网络设备购置的费用支出，涉及资金</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万元，评价范围为涉及该项目管理及其预算资金使用绩效的相关情况。</w:t>
      </w:r>
    </w:p>
    <w:p>
      <w:pPr>
        <w:pStyle w:val="5"/>
        <w:keepNext w:val="0"/>
        <w:keepLines w:val="0"/>
        <w:adjustRightInd/>
        <w:snapToGrid/>
        <w:spacing w:before="0" w:after="0"/>
        <w:rPr>
          <w:rFonts w:ascii="黑体" w:hAnsi="黑体" w:eastAsia="黑体" w:cs="黑体"/>
          <w:sz w:val="30"/>
          <w:szCs w:val="30"/>
        </w:rPr>
      </w:pPr>
      <w:bookmarkStart w:id="36" w:name="_Toc21596"/>
      <w:bookmarkStart w:id="37" w:name="_Toc28827"/>
      <w:bookmarkStart w:id="38" w:name="_Toc23494"/>
      <w:bookmarkStart w:id="39" w:name="_Toc31552"/>
      <w:bookmarkStart w:id="40" w:name="_Toc17710"/>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2346"/>
      <w:bookmarkStart w:id="42" w:name="_Toc15060"/>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5"/>
        <w:keepNext w:val="0"/>
        <w:keepLines w:val="0"/>
        <w:adjustRightInd/>
        <w:snapToGrid/>
        <w:spacing w:before="0" w:after="0"/>
        <w:rPr>
          <w:rFonts w:ascii="黑体" w:hAnsi="黑体" w:eastAsia="黑体" w:cs="黑体"/>
          <w:sz w:val="30"/>
          <w:szCs w:val="30"/>
        </w:rPr>
      </w:pPr>
      <w:bookmarkStart w:id="43" w:name="_Toc18992"/>
      <w:bookmarkStart w:id="44" w:name="_Toc29228"/>
      <w:bookmarkStart w:id="45" w:name="_Toc1796"/>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5"/>
        <w:keepNext w:val="0"/>
        <w:keepLines w:val="0"/>
        <w:adjustRightInd/>
        <w:snapToGrid/>
        <w:spacing w:before="0" w:after="0"/>
        <w:rPr>
          <w:rFonts w:ascii="黑体" w:hAnsi="黑体" w:eastAsia="黑体" w:cs="黑体"/>
          <w:sz w:val="30"/>
          <w:szCs w:val="30"/>
        </w:rPr>
      </w:pPr>
      <w:bookmarkStart w:id="46" w:name="_Toc18185"/>
      <w:bookmarkStart w:id="47" w:name="_Toc21049"/>
      <w:bookmarkStart w:id="48" w:name="_Toc15508"/>
      <w:bookmarkStart w:id="49" w:name="_Toc10949"/>
      <w:bookmarkStart w:id="50" w:name="_Toc7828"/>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w:t>
      </w:r>
      <w:r>
        <w:rPr>
          <w:rFonts w:hint="eastAsia" w:ascii="仿宋_GB2312" w:hAnsi="仿宋_GB2312" w:eastAsia="仿宋_GB2312" w:cs="仿宋_GB2312"/>
          <w:sz w:val="32"/>
          <w:szCs w:val="32"/>
          <w:lang w:eastAsia="zh-CN"/>
        </w:rPr>
        <w:t>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4"/>
        <w:keepNext w:val="0"/>
        <w:keepLines w:val="0"/>
        <w:spacing w:before="0" w:after="0" w:line="360" w:lineRule="auto"/>
        <w:rPr>
          <w:rFonts w:ascii="黑体" w:hAnsi="黑体" w:eastAsia="黑体" w:cs="黑体"/>
          <w:sz w:val="32"/>
          <w:szCs w:val="32"/>
          <w:lang w:val="zh-CN"/>
        </w:rPr>
      </w:pPr>
      <w:bookmarkStart w:id="51" w:name="_Toc12278"/>
      <w:bookmarkStart w:id="52" w:name="_Toc17646"/>
      <w:bookmarkStart w:id="53" w:name="_Toc16"/>
      <w:bookmarkStart w:id="54" w:name="_Toc22344"/>
      <w:bookmarkStart w:id="55" w:name="_Toc5171"/>
      <w:r>
        <w:rPr>
          <w:rFonts w:hint="eastAsia" w:ascii="黑体" w:hAnsi="黑体" w:eastAsia="黑体" w:cs="黑体"/>
          <w:sz w:val="32"/>
          <w:szCs w:val="32"/>
        </w:rPr>
        <w:t>三、</w:t>
      </w:r>
      <w:r>
        <w:rPr>
          <w:rFonts w:ascii="黑体" w:hAnsi="黑体" w:eastAsia="黑体" w:cs="黑体"/>
          <w:sz w:val="32"/>
          <w:szCs w:val="32"/>
          <w:lang w:val="zh-CN"/>
        </w:rPr>
        <w:t>单位自评结果及分析</w:t>
      </w:r>
      <w:bookmarkEnd w:id="51"/>
      <w:bookmarkEnd w:id="52"/>
      <w:bookmarkEnd w:id="53"/>
      <w:bookmarkEnd w:id="54"/>
      <w:bookmarkEnd w:id="55"/>
    </w:p>
    <w:p>
      <w:pPr>
        <w:pStyle w:val="5"/>
        <w:keepNext w:val="0"/>
        <w:keepLines w:val="0"/>
        <w:adjustRightInd/>
        <w:snapToGrid/>
        <w:spacing w:before="0" w:after="0"/>
        <w:rPr>
          <w:rFonts w:ascii="黑体" w:hAnsi="黑体" w:eastAsia="黑体" w:cs="黑体"/>
          <w:sz w:val="30"/>
          <w:szCs w:val="30"/>
          <w:lang w:val="zh-CN"/>
        </w:rPr>
      </w:pPr>
      <w:bookmarkStart w:id="56" w:name="_Toc32649"/>
      <w:bookmarkStart w:id="57" w:name="_Toc8066"/>
      <w:bookmarkStart w:id="58" w:name="_Toc7720"/>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我单位通过对本项目调查研究、座谈、查阅相关资料，根据相关政策要求进行打分，最终项目自评价得分为</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分，评价结果为优。</w:t>
      </w:r>
    </w:p>
    <w:p>
      <w:pPr>
        <w:pStyle w:val="4"/>
        <w:keepNext w:val="0"/>
        <w:keepLines w:val="0"/>
        <w:numPr>
          <w:ilvl w:val="0"/>
          <w:numId w:val="1"/>
        </w:numPr>
        <w:spacing w:before="0" w:after="0" w:line="360" w:lineRule="auto"/>
        <w:rPr>
          <w:rFonts w:ascii="黑体" w:hAnsi="黑体" w:eastAsia="黑体" w:cs="黑体"/>
          <w:sz w:val="32"/>
          <w:szCs w:val="32"/>
          <w:lang w:val="zh-CN"/>
        </w:rPr>
      </w:pPr>
      <w:bookmarkStart w:id="59" w:name="_Toc29526"/>
      <w:bookmarkStart w:id="60" w:name="_Toc6853"/>
      <w:bookmarkStart w:id="61" w:name="_Toc11209"/>
      <w:r>
        <w:rPr>
          <w:rFonts w:ascii="黑体" w:hAnsi="黑体" w:eastAsia="黑体" w:cs="黑体"/>
          <w:sz w:val="32"/>
          <w:szCs w:val="32"/>
          <w:lang w:val="zh-CN"/>
        </w:rPr>
        <w:t>自评发现的问题及整改措施</w:t>
      </w:r>
      <w:bookmarkEnd w:id="59"/>
      <w:bookmarkEnd w:id="60"/>
      <w:bookmarkEnd w:id="61"/>
      <w:bookmarkStart w:id="62" w:name="_Toc9511"/>
      <w:bookmarkStart w:id="63" w:name="_Toc17190"/>
    </w:p>
    <w:bookmarkEnd w:id="62"/>
    <w:bookmarkEnd w:id="63"/>
    <w:p>
      <w:pPr>
        <w:spacing w:line="360" w:lineRule="auto"/>
        <w:ind w:firstLine="640" w:firstLineChars="200"/>
        <w:rPr>
          <w:rFonts w:ascii="仿宋_GB2312" w:hAnsi="仿宋_GB2312" w:eastAsia="仿宋_GB2312" w:cs="仿宋_GB2312"/>
          <w:sz w:val="32"/>
          <w:szCs w:val="32"/>
        </w:rPr>
      </w:pPr>
      <w:bookmarkStart w:id="64" w:name="_Toc30248"/>
      <w:bookmarkStart w:id="65" w:name="_Toc21336"/>
      <w:bookmarkStart w:id="66" w:name="_Toc23893"/>
      <w:bookmarkStart w:id="67" w:name="_Toc20854"/>
      <w:bookmarkStart w:id="68" w:name="_Toc19736"/>
      <w:r>
        <w:rPr>
          <w:rFonts w:ascii="仿宋_GB2312" w:hAnsi="仿宋_GB2312" w:eastAsia="仿宋_GB2312" w:cs="仿宋_GB2312"/>
          <w:sz w:val="32"/>
          <w:szCs w:val="32"/>
        </w:rPr>
        <w:t>发现的问题</w:t>
      </w:r>
      <w:r>
        <w:rPr>
          <w:rFonts w:hint="eastAsia" w:ascii="仿宋_GB2312" w:hAnsi="仿宋_GB2312" w:eastAsia="仿宋_GB2312" w:cs="仿宋_GB2312"/>
          <w:sz w:val="32"/>
          <w:szCs w:val="32"/>
        </w:rPr>
        <w:t>：发现由于前期绩效管理意识薄弱，未及时对项目全部资料进行梳理备案统一保管，出现资料不全问题，导致单位自评依据不完整，评价结果不够准确。</w:t>
      </w:r>
      <w:bookmarkEnd w:id="64"/>
      <w:bookmarkEnd w:id="65"/>
      <w:bookmarkEnd w:id="66"/>
      <w:bookmarkEnd w:id="67"/>
      <w:bookmarkEnd w:id="6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整改措施：</w:t>
      </w:r>
      <w:r>
        <w:rPr>
          <w:rFonts w:ascii="仿宋_GB2312" w:hAnsi="仿宋_GB2312" w:eastAsia="仿宋_GB2312" w:cs="仿宋_GB2312"/>
          <w:sz w:val="32"/>
          <w:szCs w:val="32"/>
          <w:lang w:val="zh-CN"/>
        </w:rPr>
        <w:t>科学制定绩效目标，参照历史数据、行业标准、计划标准等数据资料，设置指向明确、细化量化、合理可行、相应匹配的绩效目标，为后期开展绩效监控和评价提供基础支撑</w:t>
      </w:r>
      <w:r>
        <w:rPr>
          <w:rFonts w:hint="eastAsia" w:ascii="仿宋_GB2312" w:hAnsi="仿宋_GB2312" w:eastAsia="仿宋_GB2312" w:cs="仿宋_GB2312"/>
          <w:sz w:val="32"/>
          <w:szCs w:val="32"/>
          <w:lang w:val="zh-CN"/>
        </w:rPr>
        <w:t>。</w:t>
      </w:r>
    </w:p>
    <w:p>
      <w:pPr>
        <w:pStyle w:val="4"/>
        <w:keepNext w:val="0"/>
        <w:keepLines w:val="0"/>
        <w:numPr>
          <w:ilvl w:val="0"/>
          <w:numId w:val="1"/>
        </w:numPr>
        <w:spacing w:before="0" w:after="0" w:line="360" w:lineRule="auto"/>
        <w:rPr>
          <w:rFonts w:ascii="黑体" w:hAnsi="黑体" w:eastAsia="黑体" w:cs="黑体"/>
          <w:sz w:val="32"/>
          <w:szCs w:val="32"/>
          <w:lang w:val="zh-CN"/>
        </w:rPr>
      </w:pPr>
      <w:bookmarkStart w:id="69" w:name="_Toc9116"/>
      <w:bookmarkStart w:id="70" w:name="_Toc31923"/>
      <w:bookmarkStart w:id="71" w:name="_Toc19784"/>
      <w:r>
        <w:rPr>
          <w:rFonts w:ascii="黑体" w:hAnsi="黑体" w:eastAsia="黑体" w:cs="黑体"/>
          <w:sz w:val="32"/>
          <w:szCs w:val="32"/>
          <w:lang w:val="zh-CN"/>
        </w:rPr>
        <w:t>绩效自评工作建议及预算安排建议</w:t>
      </w:r>
      <w:bookmarkEnd w:id="69"/>
      <w:bookmarkEnd w:id="70"/>
      <w:bookmarkEnd w:id="71"/>
    </w:p>
    <w:p>
      <w:pPr>
        <w:pStyle w:val="2"/>
        <w:ind w:firstLine="640" w:firstLineChars="200"/>
        <w:jc w:val="left"/>
        <w:rPr>
          <w:rFonts w:ascii="仿宋_GB2312" w:hAnsi="仿宋_GB2312" w:eastAsia="仿宋_GB2312" w:cs="仿宋_GB2312"/>
          <w:sz w:val="32"/>
          <w:szCs w:val="32"/>
        </w:rPr>
      </w:pPr>
      <w:bookmarkStart w:id="72" w:name="_Toc6756"/>
      <w:bookmarkStart w:id="73" w:name="_Toc4014"/>
      <w:r>
        <w:rPr>
          <w:rFonts w:hint="eastAsia" w:ascii="仿宋_GB2312" w:hAnsi="仿宋_GB2312" w:eastAsia="仿宋_GB2312" w:cs="仿宋_GB2312"/>
          <w:sz w:val="32"/>
          <w:szCs w:val="32"/>
        </w:rPr>
        <w:t>加强预算绩效宣传和评价工作力度，培养全员绩效管理和评价过程，人人参与绩效目标设置，真正做到“谁支出、谁评价，有支出、必问效”。协调业务科所和行政科所配合效率。要采取召开会议、专题培训、分类指导等多种形式，让预算单位领导和工作人员了解政策、开展工作。</w:t>
      </w:r>
    </w:p>
    <w:p>
      <w:pPr>
        <w:pStyle w:val="4"/>
        <w:keepNext w:val="0"/>
        <w:keepLines w:val="0"/>
        <w:numPr>
          <w:ilvl w:val="0"/>
          <w:numId w:val="2"/>
        </w:numPr>
        <w:spacing w:before="0" w:after="0" w:line="360" w:lineRule="auto"/>
        <w:rPr>
          <w:rFonts w:ascii="黑体" w:hAnsi="黑体" w:eastAsia="黑体" w:cs="黑体"/>
          <w:sz w:val="32"/>
          <w:szCs w:val="32"/>
          <w:lang w:val="zh-CN"/>
        </w:rPr>
      </w:pPr>
      <w:bookmarkStart w:id="74" w:name="_Toc29064"/>
      <w:r>
        <w:rPr>
          <w:rFonts w:ascii="黑体" w:hAnsi="黑体" w:eastAsia="黑体" w:cs="黑体"/>
          <w:sz w:val="32"/>
          <w:szCs w:val="32"/>
          <w:lang w:val="zh-CN"/>
        </w:rPr>
        <w:t>其他需要说明的问题</w:t>
      </w:r>
      <w:bookmarkEnd w:id="72"/>
      <w:bookmarkEnd w:id="73"/>
      <w:bookmarkEnd w:id="74"/>
    </w:p>
    <w:p>
      <w:pPr>
        <w:pStyle w:val="2"/>
        <w:ind w:firstLine="640" w:firstLineChars="200"/>
        <w:jc w:val="left"/>
        <w:rPr>
          <w:rFonts w:ascii="仿宋_GB2312" w:hAnsi="仿宋_GB2312" w:eastAsia="仿宋_GB2312" w:cs="仿宋_GB2312"/>
          <w:sz w:val="32"/>
          <w:szCs w:val="32"/>
        </w:rPr>
      </w:pPr>
      <w:bookmarkStart w:id="75" w:name="_Toc10246"/>
      <w:bookmarkStart w:id="76" w:name="_Toc1422"/>
      <w:bookmarkStart w:id="77" w:name="_Toc32568"/>
      <w:r>
        <w:rPr>
          <w:rFonts w:hint="eastAsia" w:ascii="仿宋_GB2312" w:hAnsi="仿宋_GB2312" w:eastAsia="仿宋_GB2312" w:cs="仿宋_GB2312"/>
          <w:sz w:val="32"/>
          <w:szCs w:val="32"/>
        </w:rPr>
        <w:t>需要说明的是：受多种因素影响，部分指标值难以考察取证</w:t>
      </w:r>
      <w:bookmarkEnd w:id="75"/>
      <w:bookmarkStart w:id="78" w:name="_Toc7176"/>
      <w:bookmarkStart w:id="79" w:name="_Toc12241"/>
      <w:r>
        <w:rPr>
          <w:rFonts w:hint="eastAsia" w:ascii="仿宋_GB2312" w:hAnsi="仿宋_GB2312" w:eastAsia="仿宋_GB2312" w:cs="仿宋_GB2312"/>
          <w:sz w:val="32"/>
          <w:szCs w:val="32"/>
        </w:rPr>
        <w:t>。</w:t>
      </w:r>
      <w:bookmarkEnd w:id="76"/>
      <w:bookmarkEnd w:id="77"/>
    </w:p>
    <w:bookmarkEnd w:id="78"/>
    <w:bookmarkEnd w:id="79"/>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mYTUyY2Y1MDJiZjIyYjdiMjQzMDFmYzRiYmU4MWIifQ=="/>
  </w:docVars>
  <w:rsids>
    <w:rsidRoot w:val="00172A27"/>
    <w:rsid w:val="00172A27"/>
    <w:rsid w:val="0023111C"/>
    <w:rsid w:val="00371176"/>
    <w:rsid w:val="0055721E"/>
    <w:rsid w:val="006225BA"/>
    <w:rsid w:val="00AE27BC"/>
    <w:rsid w:val="00CD18CB"/>
    <w:rsid w:val="00D403CC"/>
    <w:rsid w:val="00DD6E4E"/>
    <w:rsid w:val="01CD24AB"/>
    <w:rsid w:val="01D11DD0"/>
    <w:rsid w:val="03687896"/>
    <w:rsid w:val="03A74472"/>
    <w:rsid w:val="03CF39B3"/>
    <w:rsid w:val="03DD2E19"/>
    <w:rsid w:val="03E3527A"/>
    <w:rsid w:val="03FB180A"/>
    <w:rsid w:val="0475434D"/>
    <w:rsid w:val="04E85A96"/>
    <w:rsid w:val="05310285"/>
    <w:rsid w:val="05E94B02"/>
    <w:rsid w:val="06022C39"/>
    <w:rsid w:val="06241739"/>
    <w:rsid w:val="06403200"/>
    <w:rsid w:val="065255DD"/>
    <w:rsid w:val="067D4911"/>
    <w:rsid w:val="06C321E0"/>
    <w:rsid w:val="06CD2CAD"/>
    <w:rsid w:val="06D44DB6"/>
    <w:rsid w:val="07176BCD"/>
    <w:rsid w:val="073C001E"/>
    <w:rsid w:val="076D7ABD"/>
    <w:rsid w:val="07EC720E"/>
    <w:rsid w:val="09517008"/>
    <w:rsid w:val="09520821"/>
    <w:rsid w:val="0A8D0188"/>
    <w:rsid w:val="0B0A783A"/>
    <w:rsid w:val="0B714783"/>
    <w:rsid w:val="0BA212E3"/>
    <w:rsid w:val="0BDB688F"/>
    <w:rsid w:val="0C1D2D9B"/>
    <w:rsid w:val="0C2B3B54"/>
    <w:rsid w:val="0D5B101A"/>
    <w:rsid w:val="0DAC117D"/>
    <w:rsid w:val="0DC63D28"/>
    <w:rsid w:val="0E00771B"/>
    <w:rsid w:val="0E243570"/>
    <w:rsid w:val="0E261B15"/>
    <w:rsid w:val="0E9C42BC"/>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41546C"/>
    <w:rsid w:val="14AC70A9"/>
    <w:rsid w:val="14BD44C7"/>
    <w:rsid w:val="14DE3D76"/>
    <w:rsid w:val="1512287B"/>
    <w:rsid w:val="15446D6C"/>
    <w:rsid w:val="155B3210"/>
    <w:rsid w:val="15C00483"/>
    <w:rsid w:val="15C71E5A"/>
    <w:rsid w:val="15EB0E81"/>
    <w:rsid w:val="15F135FB"/>
    <w:rsid w:val="16A86570"/>
    <w:rsid w:val="16AE72D0"/>
    <w:rsid w:val="178B4BED"/>
    <w:rsid w:val="17A009E3"/>
    <w:rsid w:val="18074165"/>
    <w:rsid w:val="18180FA8"/>
    <w:rsid w:val="18570359"/>
    <w:rsid w:val="186944EF"/>
    <w:rsid w:val="19357C12"/>
    <w:rsid w:val="194B0BBF"/>
    <w:rsid w:val="196138D2"/>
    <w:rsid w:val="19953697"/>
    <w:rsid w:val="19BA43E3"/>
    <w:rsid w:val="19BE4657"/>
    <w:rsid w:val="1A4450BF"/>
    <w:rsid w:val="1AC12C79"/>
    <w:rsid w:val="1ADF6535"/>
    <w:rsid w:val="1AF11A8C"/>
    <w:rsid w:val="1B51691E"/>
    <w:rsid w:val="1B7911A5"/>
    <w:rsid w:val="1B8B0E1E"/>
    <w:rsid w:val="1BFD0F60"/>
    <w:rsid w:val="1C29383C"/>
    <w:rsid w:val="1C48271E"/>
    <w:rsid w:val="1D47313A"/>
    <w:rsid w:val="1D676463"/>
    <w:rsid w:val="1DC41A36"/>
    <w:rsid w:val="1DFC4D2D"/>
    <w:rsid w:val="1E216956"/>
    <w:rsid w:val="1E7C7AF5"/>
    <w:rsid w:val="1EA51E7C"/>
    <w:rsid w:val="1EC01BD4"/>
    <w:rsid w:val="1F3A1FDC"/>
    <w:rsid w:val="1F6D5147"/>
    <w:rsid w:val="1F6E60BF"/>
    <w:rsid w:val="1FA65F70"/>
    <w:rsid w:val="1FFB2D1C"/>
    <w:rsid w:val="20E32BEF"/>
    <w:rsid w:val="212C46B1"/>
    <w:rsid w:val="21ED3453"/>
    <w:rsid w:val="21EE6A3C"/>
    <w:rsid w:val="22715B15"/>
    <w:rsid w:val="23AC70BE"/>
    <w:rsid w:val="24033141"/>
    <w:rsid w:val="25795502"/>
    <w:rsid w:val="25AB5C72"/>
    <w:rsid w:val="25DA5416"/>
    <w:rsid w:val="266D3B8D"/>
    <w:rsid w:val="2673135B"/>
    <w:rsid w:val="26E830D8"/>
    <w:rsid w:val="274970C1"/>
    <w:rsid w:val="288C42DB"/>
    <w:rsid w:val="2B147896"/>
    <w:rsid w:val="2B25139B"/>
    <w:rsid w:val="2B2E4513"/>
    <w:rsid w:val="2B424556"/>
    <w:rsid w:val="2B720D00"/>
    <w:rsid w:val="2BEB71D6"/>
    <w:rsid w:val="2CC11655"/>
    <w:rsid w:val="2CF66F3B"/>
    <w:rsid w:val="2D507920"/>
    <w:rsid w:val="2D96497A"/>
    <w:rsid w:val="2DFC3ABA"/>
    <w:rsid w:val="2E3B1D53"/>
    <w:rsid w:val="2E874CFC"/>
    <w:rsid w:val="2ED70AD7"/>
    <w:rsid w:val="2F4D5996"/>
    <w:rsid w:val="2F7A178E"/>
    <w:rsid w:val="2FDE5397"/>
    <w:rsid w:val="2FE87747"/>
    <w:rsid w:val="30593884"/>
    <w:rsid w:val="308527DF"/>
    <w:rsid w:val="3088385B"/>
    <w:rsid w:val="30B9326C"/>
    <w:rsid w:val="318B0952"/>
    <w:rsid w:val="31DF7CC7"/>
    <w:rsid w:val="31FD63AA"/>
    <w:rsid w:val="3229235E"/>
    <w:rsid w:val="3229411A"/>
    <w:rsid w:val="322D471F"/>
    <w:rsid w:val="32870C13"/>
    <w:rsid w:val="32C318DF"/>
    <w:rsid w:val="33481B81"/>
    <w:rsid w:val="335509C7"/>
    <w:rsid w:val="34801387"/>
    <w:rsid w:val="35323F4D"/>
    <w:rsid w:val="353F609B"/>
    <w:rsid w:val="35F5341F"/>
    <w:rsid w:val="364D7507"/>
    <w:rsid w:val="36853699"/>
    <w:rsid w:val="36F95D7D"/>
    <w:rsid w:val="37113F81"/>
    <w:rsid w:val="377A6189"/>
    <w:rsid w:val="383E476D"/>
    <w:rsid w:val="38587408"/>
    <w:rsid w:val="38774D48"/>
    <w:rsid w:val="38CC5ED8"/>
    <w:rsid w:val="3902565F"/>
    <w:rsid w:val="39694146"/>
    <w:rsid w:val="3B70590B"/>
    <w:rsid w:val="3B837370"/>
    <w:rsid w:val="3B8E0BEC"/>
    <w:rsid w:val="3C1259C9"/>
    <w:rsid w:val="3C21355B"/>
    <w:rsid w:val="3C9B0FCA"/>
    <w:rsid w:val="3D162FD9"/>
    <w:rsid w:val="3D606B02"/>
    <w:rsid w:val="3DB053D5"/>
    <w:rsid w:val="3DBB4886"/>
    <w:rsid w:val="3DEA26E4"/>
    <w:rsid w:val="3E873D85"/>
    <w:rsid w:val="3EDB54D0"/>
    <w:rsid w:val="3EE01EF4"/>
    <w:rsid w:val="3FC65CE4"/>
    <w:rsid w:val="3FFD4C51"/>
    <w:rsid w:val="404D4025"/>
    <w:rsid w:val="408D3727"/>
    <w:rsid w:val="40F2114B"/>
    <w:rsid w:val="4162246E"/>
    <w:rsid w:val="419E0086"/>
    <w:rsid w:val="41B94BAA"/>
    <w:rsid w:val="41B94E6B"/>
    <w:rsid w:val="41BA54AD"/>
    <w:rsid w:val="41DA5F81"/>
    <w:rsid w:val="426274DE"/>
    <w:rsid w:val="438F1213"/>
    <w:rsid w:val="43EF7CB6"/>
    <w:rsid w:val="441214EF"/>
    <w:rsid w:val="44A76620"/>
    <w:rsid w:val="44C9039D"/>
    <w:rsid w:val="45A21C1C"/>
    <w:rsid w:val="45D84497"/>
    <w:rsid w:val="45DB5816"/>
    <w:rsid w:val="463955F5"/>
    <w:rsid w:val="467F19D6"/>
    <w:rsid w:val="46F53775"/>
    <w:rsid w:val="470B471F"/>
    <w:rsid w:val="47237B65"/>
    <w:rsid w:val="475C1AA9"/>
    <w:rsid w:val="47AC6349"/>
    <w:rsid w:val="47B41DDF"/>
    <w:rsid w:val="47B9772E"/>
    <w:rsid w:val="47EA4F22"/>
    <w:rsid w:val="48316427"/>
    <w:rsid w:val="487A1FC6"/>
    <w:rsid w:val="491C4AEB"/>
    <w:rsid w:val="492B5C25"/>
    <w:rsid w:val="49395B00"/>
    <w:rsid w:val="496C68DE"/>
    <w:rsid w:val="4A257AB1"/>
    <w:rsid w:val="4A5C7F26"/>
    <w:rsid w:val="4ABA4758"/>
    <w:rsid w:val="4AFF07C1"/>
    <w:rsid w:val="4C2B3CBB"/>
    <w:rsid w:val="4D656886"/>
    <w:rsid w:val="4DCD728F"/>
    <w:rsid w:val="4E1229E8"/>
    <w:rsid w:val="4EE84F7D"/>
    <w:rsid w:val="4F261EF2"/>
    <w:rsid w:val="4F3F1FEB"/>
    <w:rsid w:val="508005C7"/>
    <w:rsid w:val="50963008"/>
    <w:rsid w:val="50D26009"/>
    <w:rsid w:val="512F199A"/>
    <w:rsid w:val="515E556F"/>
    <w:rsid w:val="51CE5D14"/>
    <w:rsid w:val="521774C0"/>
    <w:rsid w:val="523F7E77"/>
    <w:rsid w:val="526A022B"/>
    <w:rsid w:val="52942ED4"/>
    <w:rsid w:val="52FE679A"/>
    <w:rsid w:val="53635160"/>
    <w:rsid w:val="53F02BBD"/>
    <w:rsid w:val="54087C43"/>
    <w:rsid w:val="54151AB3"/>
    <w:rsid w:val="547C2982"/>
    <w:rsid w:val="54D008A0"/>
    <w:rsid w:val="54D12A5B"/>
    <w:rsid w:val="553A3D22"/>
    <w:rsid w:val="553D7376"/>
    <w:rsid w:val="555C7E27"/>
    <w:rsid w:val="56EA0736"/>
    <w:rsid w:val="56F72425"/>
    <w:rsid w:val="56F94133"/>
    <w:rsid w:val="570730E6"/>
    <w:rsid w:val="573D02BD"/>
    <w:rsid w:val="57546843"/>
    <w:rsid w:val="57D22477"/>
    <w:rsid w:val="581B3AC4"/>
    <w:rsid w:val="58270281"/>
    <w:rsid w:val="58836238"/>
    <w:rsid w:val="589247BF"/>
    <w:rsid w:val="58BF2BBA"/>
    <w:rsid w:val="58C3256A"/>
    <w:rsid w:val="58C80F7B"/>
    <w:rsid w:val="58E24971"/>
    <w:rsid w:val="59964EC4"/>
    <w:rsid w:val="59CA1E32"/>
    <w:rsid w:val="5A9D143D"/>
    <w:rsid w:val="5AE66300"/>
    <w:rsid w:val="5BBA585B"/>
    <w:rsid w:val="5BF472B6"/>
    <w:rsid w:val="5C9E6E6F"/>
    <w:rsid w:val="5CC9121A"/>
    <w:rsid w:val="5D194034"/>
    <w:rsid w:val="5D2A03F6"/>
    <w:rsid w:val="5DAE6520"/>
    <w:rsid w:val="5DB30328"/>
    <w:rsid w:val="5DCF0D9F"/>
    <w:rsid w:val="5E250CB8"/>
    <w:rsid w:val="5E370097"/>
    <w:rsid w:val="5E3D49B5"/>
    <w:rsid w:val="5E6922B4"/>
    <w:rsid w:val="5E9667BD"/>
    <w:rsid w:val="5EAB68AB"/>
    <w:rsid w:val="5EF73BE2"/>
    <w:rsid w:val="5F3D3065"/>
    <w:rsid w:val="608A1152"/>
    <w:rsid w:val="608B20EF"/>
    <w:rsid w:val="60967BC8"/>
    <w:rsid w:val="609D521D"/>
    <w:rsid w:val="61382481"/>
    <w:rsid w:val="61897905"/>
    <w:rsid w:val="61BF196A"/>
    <w:rsid w:val="61F11689"/>
    <w:rsid w:val="61F873E4"/>
    <w:rsid w:val="62600656"/>
    <w:rsid w:val="62A44963"/>
    <w:rsid w:val="631349E3"/>
    <w:rsid w:val="631E05FA"/>
    <w:rsid w:val="63436BA2"/>
    <w:rsid w:val="634376F7"/>
    <w:rsid w:val="63D85F0D"/>
    <w:rsid w:val="65900A51"/>
    <w:rsid w:val="659C3396"/>
    <w:rsid w:val="65FC37D4"/>
    <w:rsid w:val="665935D9"/>
    <w:rsid w:val="66732F13"/>
    <w:rsid w:val="66DA6564"/>
    <w:rsid w:val="677A24B6"/>
    <w:rsid w:val="68503E83"/>
    <w:rsid w:val="68781637"/>
    <w:rsid w:val="687A78F9"/>
    <w:rsid w:val="68CE1443"/>
    <w:rsid w:val="68CF58FA"/>
    <w:rsid w:val="69124FDF"/>
    <w:rsid w:val="69901EC0"/>
    <w:rsid w:val="69CA49FB"/>
    <w:rsid w:val="6A043746"/>
    <w:rsid w:val="6A5357A1"/>
    <w:rsid w:val="6A78052C"/>
    <w:rsid w:val="6A875334"/>
    <w:rsid w:val="6A884503"/>
    <w:rsid w:val="6AC5360B"/>
    <w:rsid w:val="6ADF0274"/>
    <w:rsid w:val="6AFC6911"/>
    <w:rsid w:val="6B1B61E1"/>
    <w:rsid w:val="6B206B79"/>
    <w:rsid w:val="6B8F16DB"/>
    <w:rsid w:val="6BC85164"/>
    <w:rsid w:val="6BFB6BCB"/>
    <w:rsid w:val="6BFF319B"/>
    <w:rsid w:val="6C842205"/>
    <w:rsid w:val="6D225641"/>
    <w:rsid w:val="6E0B664E"/>
    <w:rsid w:val="6E722F0C"/>
    <w:rsid w:val="6E8225F1"/>
    <w:rsid w:val="6F472C16"/>
    <w:rsid w:val="6F9718E7"/>
    <w:rsid w:val="6FD05487"/>
    <w:rsid w:val="70862B44"/>
    <w:rsid w:val="70C3452F"/>
    <w:rsid w:val="71356FE0"/>
    <w:rsid w:val="718805D0"/>
    <w:rsid w:val="72CC0D0F"/>
    <w:rsid w:val="731E1707"/>
    <w:rsid w:val="73425652"/>
    <w:rsid w:val="73C72D5A"/>
    <w:rsid w:val="73F551D4"/>
    <w:rsid w:val="740C3548"/>
    <w:rsid w:val="743C7925"/>
    <w:rsid w:val="7449202E"/>
    <w:rsid w:val="74A72714"/>
    <w:rsid w:val="74ED7A64"/>
    <w:rsid w:val="74F22980"/>
    <w:rsid w:val="754822C9"/>
    <w:rsid w:val="7549328A"/>
    <w:rsid w:val="757E669A"/>
    <w:rsid w:val="765561D3"/>
    <w:rsid w:val="767F3925"/>
    <w:rsid w:val="76E55379"/>
    <w:rsid w:val="772050C3"/>
    <w:rsid w:val="773D4564"/>
    <w:rsid w:val="776948CD"/>
    <w:rsid w:val="77C57565"/>
    <w:rsid w:val="77F814DF"/>
    <w:rsid w:val="78746F95"/>
    <w:rsid w:val="78B6314A"/>
    <w:rsid w:val="79181E93"/>
    <w:rsid w:val="7921275B"/>
    <w:rsid w:val="79905BFC"/>
    <w:rsid w:val="79E41632"/>
    <w:rsid w:val="7A3D329F"/>
    <w:rsid w:val="7A620D4B"/>
    <w:rsid w:val="7AA11E6E"/>
    <w:rsid w:val="7AA60219"/>
    <w:rsid w:val="7B71655A"/>
    <w:rsid w:val="7B8168E2"/>
    <w:rsid w:val="7C745F09"/>
    <w:rsid w:val="7CA377F5"/>
    <w:rsid w:val="7D2726CD"/>
    <w:rsid w:val="7D2F6FEA"/>
    <w:rsid w:val="7D347EF8"/>
    <w:rsid w:val="7E7D369D"/>
    <w:rsid w:val="7EBE117D"/>
    <w:rsid w:val="7EC22AF7"/>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5"/>
    <w:qFormat/>
    <w:uiPriority w:val="0"/>
    <w:pPr>
      <w:keepNext/>
      <w:keepLines/>
      <w:spacing w:before="340" w:after="330" w:line="576" w:lineRule="auto"/>
      <w:outlineLvl w:val="0"/>
    </w:pPr>
    <w:rPr>
      <w:b/>
      <w:kern w:val="44"/>
      <w:sz w:val="44"/>
    </w:rPr>
  </w:style>
  <w:style w:type="paragraph" w:styleId="5">
    <w:name w:val="heading 2"/>
    <w:basedOn w:val="1"/>
    <w:next w:val="6"/>
    <w:link w:val="19"/>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6">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7">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qFormat/>
    <w:uiPriority w:val="0"/>
    <w:pPr>
      <w:spacing w:after="120" w:line="480" w:lineRule="auto"/>
    </w:p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w:basedOn w:val="2"/>
    <w:qFormat/>
    <w:uiPriority w:val="0"/>
    <w:pPr>
      <w:ind w:firstLine="420" w:firstLineChars="100"/>
    </w:p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2 字符"/>
    <w:link w:val="5"/>
    <w:qFormat/>
    <w:uiPriority w:val="9"/>
    <w:rPr>
      <w:rFonts w:ascii="Times New Roman" w:hAnsi="Times New Roman" w:eastAsia="仿宋" w:cs="Times New Roman"/>
      <w:b/>
      <w:sz w:val="32"/>
      <w:szCs w:val="32"/>
    </w:rPr>
  </w:style>
  <w:style w:type="character" w:customStyle="1" w:styleId="20">
    <w:name w:val="font21"/>
    <w:basedOn w:val="17"/>
    <w:qFormat/>
    <w:uiPriority w:val="0"/>
    <w:rPr>
      <w:rFonts w:hint="eastAsia" w:ascii="黑体" w:hAnsi="宋体" w:eastAsia="黑体" w:cs="黑体"/>
      <w:color w:val="000000"/>
      <w:sz w:val="13"/>
      <w:szCs w:val="13"/>
      <w:u w:val="none"/>
    </w:rPr>
  </w:style>
  <w:style w:type="character" w:customStyle="1" w:styleId="21">
    <w:name w:val="font11"/>
    <w:basedOn w:val="17"/>
    <w:qFormat/>
    <w:uiPriority w:val="0"/>
    <w:rPr>
      <w:rFonts w:hint="default" w:ascii="Times New Roman" w:hAnsi="Times New Roman" w:cs="Times New Roman"/>
      <w:color w:val="000000"/>
      <w:sz w:val="13"/>
      <w:szCs w:val="13"/>
      <w:u w:val="none"/>
    </w:rPr>
  </w:style>
  <w:style w:type="character" w:customStyle="1" w:styleId="22">
    <w:name w:val="font51"/>
    <w:basedOn w:val="17"/>
    <w:qFormat/>
    <w:uiPriority w:val="0"/>
    <w:rPr>
      <w:rFonts w:hint="eastAsia" w:ascii="黑体" w:hAnsi="宋体" w:eastAsia="黑体" w:cs="黑体"/>
      <w:color w:val="000000"/>
      <w:sz w:val="13"/>
      <w:szCs w:val="13"/>
      <w:u w:val="none"/>
      <w:vertAlign w:val="superscript"/>
    </w:rPr>
  </w:style>
  <w:style w:type="character" w:customStyle="1" w:styleId="23">
    <w:name w:val="font41"/>
    <w:basedOn w:val="17"/>
    <w:qFormat/>
    <w:uiPriority w:val="0"/>
    <w:rPr>
      <w:rFonts w:hint="eastAsia" w:ascii="宋体" w:hAnsi="宋体" w:eastAsia="宋体" w:cs="宋体"/>
      <w:color w:val="000000"/>
      <w:sz w:val="22"/>
      <w:szCs w:val="22"/>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7">
    <w:name w:val="font7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2886</Words>
  <Characters>3015</Characters>
  <Lines>41</Lines>
  <Paragraphs>11</Paragraphs>
  <TotalTime>18</TotalTime>
  <ScaleCrop>false</ScaleCrop>
  <LinksUpToDate>false</LinksUpToDate>
  <CharactersWithSpaces>3099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韩文芳</cp:lastModifiedBy>
  <dcterms:modified xsi:type="dcterms:W3CDTF">2022-05-07T09:16:48Z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4B3C4B1663154315AE62B466B1CA8016</vt:lpwstr>
  </property>
</Properties>
</file>