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line="560" w:lineRule="exact"/>
        <w:jc w:val="center"/>
        <w:outlineLvl w:val="0"/>
        <w:rPr>
          <w:rFonts w:hint="eastAsia" w:ascii="华文中宋" w:hAnsi="华文中宋" w:eastAsia="华文中宋" w:cs="方正小标宋简体"/>
          <w:b/>
          <w:sz w:val="44"/>
          <w:szCs w:val="44"/>
          <w:lang w:eastAsia="zh-CN"/>
        </w:rPr>
      </w:pPr>
      <w:bookmarkStart w:id="0" w:name="_Toc74919113"/>
      <w:bookmarkStart w:id="1" w:name="_Toc2554"/>
      <w:bookmarkStart w:id="2" w:name="_Toc21889"/>
      <w:bookmarkStart w:id="3" w:name="_Toc11465"/>
      <w:bookmarkStart w:id="4" w:name="_Toc5085"/>
      <w:bookmarkStart w:id="5" w:name="_Toc29736"/>
      <w:bookmarkStart w:id="6" w:name="_Toc793"/>
      <w:bookmarkStart w:id="7" w:name="_Toc25750"/>
      <w:r>
        <w:rPr>
          <w:rFonts w:hint="eastAsia" w:ascii="华文中宋" w:hAnsi="华文中宋" w:eastAsia="华文中宋" w:cs="方正小标宋简体"/>
          <w:b/>
          <w:sz w:val="44"/>
          <w:szCs w:val="44"/>
        </w:rPr>
        <w:t>三门峡市场监督管理局</w:t>
      </w:r>
      <w:bookmarkEnd w:id="0"/>
      <w:bookmarkEnd w:id="1"/>
      <w:bookmarkEnd w:id="2"/>
      <w:bookmarkEnd w:id="3"/>
      <w:r>
        <w:rPr>
          <w:rFonts w:hint="eastAsia" w:ascii="华文中宋" w:hAnsi="华文中宋" w:eastAsia="华文中宋" w:cs="方正小标宋简体"/>
          <w:b/>
          <w:sz w:val="44"/>
          <w:szCs w:val="44"/>
          <w:lang w:eastAsia="zh-CN"/>
        </w:rPr>
        <w:t>机关</w:t>
      </w:r>
    </w:p>
    <w:p>
      <w:pPr>
        <w:spacing w:before="312" w:beforeLines="100" w:after="312" w:afterLines="100" w:line="560" w:lineRule="exact"/>
        <w:jc w:val="center"/>
        <w:outlineLvl w:val="0"/>
        <w:rPr>
          <w:rFonts w:ascii="华文中宋" w:hAnsi="华文中宋" w:eastAsia="华文中宋" w:cs="方正小标宋简体"/>
          <w:b/>
          <w:sz w:val="44"/>
          <w:szCs w:val="44"/>
        </w:rPr>
      </w:pPr>
      <w:bookmarkStart w:id="8" w:name="_Toc7057"/>
      <w:bookmarkStart w:id="9" w:name="_Toc74919114"/>
      <w:bookmarkStart w:id="10" w:name="_Toc31746"/>
      <w:bookmarkStart w:id="11" w:name="_Toc13239"/>
      <w:r>
        <w:rPr>
          <w:rFonts w:hint="eastAsia" w:ascii="华文中宋" w:hAnsi="华文中宋" w:eastAsia="华文中宋" w:cs="方正小标宋简体"/>
          <w:b/>
          <w:sz w:val="44"/>
          <w:szCs w:val="44"/>
        </w:rPr>
        <w:t>202</w:t>
      </w:r>
      <w:r>
        <w:rPr>
          <w:rFonts w:hint="eastAsia" w:ascii="华文中宋" w:hAnsi="华文中宋" w:eastAsia="华文中宋" w:cs="方正小标宋简体"/>
          <w:b/>
          <w:sz w:val="44"/>
          <w:szCs w:val="44"/>
          <w:lang w:val="en-US" w:eastAsia="zh-CN"/>
        </w:rPr>
        <w:t>1</w:t>
      </w:r>
      <w:r>
        <w:rPr>
          <w:rFonts w:hint="eastAsia" w:ascii="华文中宋" w:hAnsi="华文中宋" w:eastAsia="华文中宋" w:cs="方正小标宋简体"/>
          <w:b/>
          <w:sz w:val="44"/>
          <w:szCs w:val="44"/>
        </w:rPr>
        <w:t>年度部门整体支出自评报告</w:t>
      </w:r>
      <w:bookmarkEnd w:id="4"/>
      <w:bookmarkEnd w:id="5"/>
      <w:bookmarkEnd w:id="6"/>
      <w:bookmarkEnd w:id="7"/>
      <w:bookmarkEnd w:id="8"/>
      <w:bookmarkEnd w:id="9"/>
      <w:bookmarkEnd w:id="10"/>
      <w:bookmarkEnd w:id="11"/>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为深入贯彻落实</w:t>
      </w:r>
      <w:r>
        <w:rPr>
          <w:rFonts w:ascii="仿宋_GB2312" w:eastAsia="仿宋_GB2312" w:cs="仿宋_GB2312"/>
          <w:sz w:val="32"/>
          <w:szCs w:val="32"/>
          <w:lang w:val="zh-CN"/>
        </w:rPr>
        <w:t>《中共三门峡市委</w:t>
      </w:r>
      <w:r>
        <w:rPr>
          <w:rFonts w:hint="eastAsia" w:ascii="仿宋_GB2312" w:eastAsia="仿宋_GB2312" w:cs="仿宋_GB2312"/>
          <w:sz w:val="32"/>
          <w:szCs w:val="32"/>
          <w:lang w:val="zh-CN"/>
        </w:rPr>
        <w:t xml:space="preserve"> </w:t>
      </w:r>
      <w:r>
        <w:rPr>
          <w:rFonts w:ascii="仿宋_GB2312" w:eastAsia="仿宋_GB2312" w:cs="仿宋_GB2312"/>
          <w:sz w:val="32"/>
          <w:szCs w:val="32"/>
          <w:lang w:val="zh-CN"/>
        </w:rPr>
        <w:t>三门峡市人民政府关于全面实施预算绩效管理的实施意见》</w:t>
      </w:r>
      <w:r>
        <w:rPr>
          <w:rFonts w:hint="eastAsia" w:ascii="仿宋_GB2312" w:eastAsia="仿宋_GB2312" w:cs="仿宋_GB2312"/>
          <w:sz w:val="32"/>
          <w:szCs w:val="32"/>
        </w:rPr>
        <w:t>有关要求，健全绩效评价常态化机制，强化部门预算绩效管理主体责任，提高财政资金使用效益。按照《</w:t>
      </w:r>
      <w:r>
        <w:rPr>
          <w:rFonts w:ascii="仿宋_GB2312" w:eastAsia="仿宋_GB2312" w:cs="仿宋_GB2312"/>
          <w:sz w:val="32"/>
          <w:szCs w:val="32"/>
          <w:lang w:val="zh-CN"/>
        </w:rPr>
        <w:t>三门峡市财政局关于开展202</w:t>
      </w:r>
      <w:r>
        <w:rPr>
          <w:rFonts w:hint="eastAsia" w:ascii="仿宋_GB2312" w:eastAsia="仿宋_GB2312" w:cs="仿宋_GB2312"/>
          <w:sz w:val="32"/>
          <w:szCs w:val="32"/>
          <w:lang w:val="en-US" w:eastAsia="zh-CN"/>
        </w:rPr>
        <w:t>1</w:t>
      </w:r>
      <w:r>
        <w:rPr>
          <w:rFonts w:ascii="仿宋_GB2312" w:eastAsia="仿宋_GB2312" w:cs="仿宋_GB2312"/>
          <w:sz w:val="32"/>
          <w:szCs w:val="32"/>
          <w:lang w:val="zh-CN"/>
        </w:rPr>
        <w:t>年度市级预算绩效自评工作的通知</w:t>
      </w:r>
      <w:r>
        <w:rPr>
          <w:rFonts w:hint="eastAsia" w:ascii="仿宋_GB2312" w:eastAsia="仿宋_GB2312" w:cs="仿宋_GB2312"/>
          <w:sz w:val="32"/>
          <w:szCs w:val="32"/>
        </w:rPr>
        <w:t>》（</w:t>
      </w:r>
      <w:r>
        <w:rPr>
          <w:rFonts w:ascii="仿宋_GB2312" w:eastAsia="仿宋_GB2312" w:cs="仿宋_GB2312"/>
          <w:sz w:val="32"/>
          <w:szCs w:val="32"/>
          <w:lang w:val="zh-CN"/>
        </w:rPr>
        <w:t>三财效〔202</w:t>
      </w:r>
      <w:r>
        <w:rPr>
          <w:rFonts w:hint="eastAsia" w:ascii="仿宋_GB2312" w:eastAsia="仿宋_GB2312" w:cs="仿宋_GB2312"/>
          <w:sz w:val="32"/>
          <w:szCs w:val="32"/>
          <w:lang w:val="en-US" w:eastAsia="zh-CN"/>
        </w:rPr>
        <w:t>2</w:t>
      </w:r>
      <w:r>
        <w:rPr>
          <w:rFonts w:ascii="仿宋_GB2312" w:eastAsia="仿宋_GB2312" w:cs="仿宋_GB2312"/>
          <w:sz w:val="32"/>
          <w:szCs w:val="32"/>
          <w:lang w:val="zh-CN"/>
        </w:rPr>
        <w:t>〕3号</w:t>
      </w:r>
      <w:r>
        <w:rPr>
          <w:rFonts w:hint="eastAsia" w:ascii="仿宋_GB2312" w:eastAsia="仿宋_GB2312" w:cs="仿宋_GB2312"/>
          <w:sz w:val="32"/>
          <w:szCs w:val="32"/>
        </w:rPr>
        <w:t>）文件的相关要求，我局高度重视，成立了绩效自评工作领导小组，通过基础资料收集、线上、线下问卷调查、数据汇总分析等工作程序，对部门整体的情况进行全面了解，根据</w:t>
      </w:r>
      <w:r>
        <w:rPr>
          <w:rFonts w:ascii="仿宋_GB2312" w:eastAsia="仿宋_GB2312" w:cs="仿宋_GB2312"/>
          <w:sz w:val="32"/>
          <w:szCs w:val="32"/>
          <w:lang w:val="zh-CN"/>
        </w:rPr>
        <w:t>三财效〔202</w:t>
      </w:r>
      <w:r>
        <w:rPr>
          <w:rFonts w:hint="eastAsia" w:ascii="仿宋_GB2312" w:eastAsia="仿宋_GB2312" w:cs="仿宋_GB2312"/>
          <w:sz w:val="32"/>
          <w:szCs w:val="32"/>
          <w:lang w:val="en-US" w:eastAsia="zh-CN"/>
        </w:rPr>
        <w:t>2</w:t>
      </w:r>
      <w:r>
        <w:rPr>
          <w:rFonts w:ascii="仿宋_GB2312" w:eastAsia="仿宋_GB2312" w:cs="仿宋_GB2312"/>
          <w:sz w:val="32"/>
          <w:szCs w:val="32"/>
          <w:lang w:val="zh-CN"/>
        </w:rPr>
        <w:t>〕3号</w:t>
      </w:r>
      <w:r>
        <w:rPr>
          <w:rFonts w:hint="eastAsia" w:ascii="仿宋_GB2312" w:eastAsia="仿宋_GB2312" w:cs="仿宋_GB2312"/>
          <w:sz w:val="32"/>
          <w:szCs w:val="32"/>
        </w:rPr>
        <w:t>文件要求，形成如下绩效自评报告。现将有关情况报告如下：</w:t>
      </w:r>
    </w:p>
    <w:p>
      <w:pPr>
        <w:pStyle w:val="7"/>
        <w:numPr>
          <w:ilvl w:val="0"/>
          <w:numId w:val="1"/>
        </w:numPr>
        <w:spacing w:before="156" w:beforeLines="50" w:after="156" w:afterLines="50" w:line="360" w:lineRule="auto"/>
        <w:rPr>
          <w:rFonts w:ascii="黑体" w:hAnsi="黑体" w:eastAsia="黑体" w:cs="黑体"/>
          <w:sz w:val="32"/>
          <w:szCs w:val="32"/>
        </w:rPr>
      </w:pPr>
      <w:bookmarkStart w:id="12" w:name="_Toc11154"/>
      <w:bookmarkStart w:id="13" w:name="_Toc27087"/>
      <w:bookmarkStart w:id="14" w:name="_Toc24413"/>
      <w:bookmarkStart w:id="15" w:name="_Toc8376"/>
      <w:bookmarkStart w:id="16" w:name="_Toc74919115"/>
      <w:bookmarkStart w:id="17" w:name="_Toc22562"/>
      <w:r>
        <w:rPr>
          <w:rFonts w:hint="eastAsia" w:ascii="黑体" w:hAnsi="黑体" w:eastAsia="黑体" w:cs="黑体"/>
          <w:sz w:val="32"/>
          <w:szCs w:val="32"/>
        </w:rPr>
        <w:t>基本情况</w:t>
      </w:r>
      <w:bookmarkEnd w:id="12"/>
      <w:bookmarkEnd w:id="13"/>
      <w:bookmarkEnd w:id="14"/>
      <w:bookmarkEnd w:id="15"/>
      <w:bookmarkEnd w:id="16"/>
      <w:bookmarkEnd w:id="17"/>
    </w:p>
    <w:p>
      <w:pPr>
        <w:pStyle w:val="8"/>
        <w:adjustRightInd/>
        <w:snapToGrid/>
        <w:spacing w:before="0" w:after="0"/>
        <w:rPr>
          <w:rFonts w:ascii="黑体" w:hAnsi="黑体" w:eastAsia="黑体" w:cs="黑体"/>
          <w:sz w:val="30"/>
          <w:szCs w:val="30"/>
        </w:rPr>
      </w:pPr>
      <w:bookmarkStart w:id="18" w:name="_Toc3203"/>
      <w:bookmarkStart w:id="19" w:name="_Toc13091"/>
      <w:bookmarkStart w:id="20" w:name="_Toc23811"/>
      <w:bookmarkStart w:id="21" w:name="_Toc6532"/>
      <w:bookmarkStart w:id="22" w:name="_Toc74919116"/>
      <w:bookmarkStart w:id="23" w:name="_Toc2923"/>
      <w:r>
        <w:rPr>
          <w:rFonts w:hint="eastAsia" w:ascii="黑体" w:hAnsi="黑体" w:eastAsia="黑体" w:cs="黑体"/>
          <w:sz w:val="30"/>
          <w:szCs w:val="30"/>
        </w:rPr>
        <w:t>（一）单位简介</w:t>
      </w:r>
      <w:bookmarkEnd w:id="18"/>
      <w:bookmarkEnd w:id="19"/>
      <w:bookmarkEnd w:id="20"/>
      <w:bookmarkEnd w:id="21"/>
      <w:bookmarkEnd w:id="22"/>
      <w:bookmarkEnd w:id="23"/>
    </w:p>
    <w:p>
      <w:pPr>
        <w:widowControl/>
        <w:shd w:val="clear" w:color="auto" w:fill="FFFFFF"/>
        <w:spacing w:line="360" w:lineRule="auto"/>
        <w:ind w:firstLine="640" w:firstLineChars="200"/>
        <w:rPr>
          <w:rFonts w:ascii="仿宋_GB2312" w:eastAsia="仿宋_GB2312" w:cs="仿宋_GB2312"/>
          <w:sz w:val="32"/>
          <w:szCs w:val="32"/>
        </w:rPr>
      </w:pPr>
      <w:r>
        <w:rPr>
          <w:rFonts w:ascii="仿宋_GB2312" w:eastAsia="仿宋_GB2312" w:cs="仿宋_GB2312"/>
          <w:sz w:val="32"/>
          <w:szCs w:val="32"/>
          <w:lang w:val="zh-CN"/>
        </w:rPr>
        <w:t>三门峡</w:t>
      </w:r>
      <w:r>
        <w:rPr>
          <w:rFonts w:hint="eastAsia" w:ascii="仿宋_GB2312" w:eastAsia="仿宋_GB2312" w:cs="仿宋_GB2312"/>
          <w:sz w:val="32"/>
          <w:szCs w:val="32"/>
          <w:lang w:val="zh-CN"/>
        </w:rPr>
        <w:t>市</w:t>
      </w:r>
      <w:r>
        <w:rPr>
          <w:rFonts w:ascii="仿宋_GB2312" w:eastAsia="仿宋_GB2312" w:cs="仿宋_GB2312"/>
          <w:sz w:val="32"/>
          <w:szCs w:val="32"/>
          <w:lang w:val="zh-CN"/>
        </w:rPr>
        <w:t>场监督管理局是市政府工作部门，为正处级，挂三门峡市知识产权局牌子。三门峡</w:t>
      </w:r>
      <w:r>
        <w:rPr>
          <w:rFonts w:hint="eastAsia" w:ascii="仿宋_GB2312" w:eastAsia="仿宋_GB2312" w:cs="仿宋_GB2312"/>
          <w:sz w:val="32"/>
          <w:szCs w:val="32"/>
          <w:lang w:val="zh-CN"/>
        </w:rPr>
        <w:t>市</w:t>
      </w:r>
      <w:r>
        <w:rPr>
          <w:rFonts w:ascii="仿宋_GB2312" w:eastAsia="仿宋_GB2312" w:cs="仿宋_GB2312"/>
          <w:sz w:val="32"/>
          <w:szCs w:val="32"/>
          <w:lang w:val="zh-CN"/>
        </w:rPr>
        <w:t>场监督管理局</w:t>
      </w:r>
      <w:r>
        <w:rPr>
          <w:rFonts w:hint="eastAsia" w:ascii="仿宋_GB2312" w:eastAsia="仿宋_GB2312" w:cs="仿宋_GB2312"/>
          <w:sz w:val="32"/>
          <w:szCs w:val="32"/>
        </w:rPr>
        <w:t>内设31个职能科（室）分别为</w:t>
      </w:r>
      <w:r>
        <w:rPr>
          <w:rFonts w:ascii="仿宋_GB2312" w:eastAsia="仿宋_GB2312" w:cs="仿宋_GB2312"/>
          <w:sz w:val="32"/>
          <w:szCs w:val="32"/>
          <w:lang w:val="zh-CN"/>
        </w:rPr>
        <w:t>办公室（应急管理办公室）</w:t>
      </w:r>
      <w:r>
        <w:rPr>
          <w:rFonts w:hint="eastAsia" w:ascii="仿宋_GB2312" w:eastAsia="仿宋_GB2312" w:cs="仿宋_GB2312"/>
          <w:sz w:val="32"/>
          <w:szCs w:val="32"/>
          <w:lang w:val="zh-CN"/>
        </w:rPr>
        <w:t>、</w:t>
      </w:r>
      <w:r>
        <w:rPr>
          <w:rFonts w:ascii="仿宋_GB2312" w:eastAsia="仿宋_GB2312" w:cs="仿宋_GB2312"/>
          <w:sz w:val="32"/>
          <w:szCs w:val="32"/>
          <w:lang w:val="zh-CN"/>
        </w:rPr>
        <w:t>综合规划科（新闻宣传科）</w:t>
      </w:r>
      <w:r>
        <w:rPr>
          <w:rFonts w:hint="eastAsia" w:ascii="仿宋_GB2312" w:eastAsia="仿宋_GB2312" w:cs="仿宋_GB2312"/>
          <w:sz w:val="32"/>
          <w:szCs w:val="32"/>
          <w:lang w:val="zh-CN"/>
        </w:rPr>
        <w:t>、</w:t>
      </w:r>
      <w:r>
        <w:rPr>
          <w:rFonts w:ascii="仿宋_GB2312" w:eastAsia="仿宋_GB2312" w:cs="仿宋_GB2312"/>
          <w:sz w:val="32"/>
          <w:szCs w:val="32"/>
          <w:lang w:val="zh-CN"/>
        </w:rPr>
        <w:t>法制科</w:t>
      </w:r>
      <w:r>
        <w:rPr>
          <w:rFonts w:hint="eastAsia" w:ascii="仿宋_GB2312" w:eastAsia="仿宋_GB2312" w:cs="仿宋_GB2312"/>
          <w:sz w:val="32"/>
          <w:szCs w:val="32"/>
          <w:lang w:val="zh-CN"/>
        </w:rPr>
        <w:t>、</w:t>
      </w:r>
      <w:r>
        <w:rPr>
          <w:rFonts w:ascii="仿宋_GB2312" w:eastAsia="仿宋_GB2312" w:cs="仿宋_GB2312"/>
          <w:sz w:val="32"/>
          <w:szCs w:val="32"/>
          <w:lang w:val="zh-CN"/>
        </w:rPr>
        <w:t>执法稽查科（打假打诈办公室、规范直销与打击传销办公室）</w:t>
      </w:r>
      <w:r>
        <w:rPr>
          <w:rFonts w:hint="eastAsia" w:ascii="仿宋_GB2312" w:eastAsia="仿宋_GB2312" w:cs="仿宋_GB2312"/>
          <w:sz w:val="32"/>
          <w:szCs w:val="32"/>
          <w:lang w:val="zh-CN"/>
        </w:rPr>
        <w:t>、</w:t>
      </w:r>
      <w:r>
        <w:rPr>
          <w:rFonts w:ascii="仿宋_GB2312" w:eastAsia="仿宋_GB2312" w:cs="仿宋_GB2312"/>
          <w:sz w:val="32"/>
          <w:szCs w:val="32"/>
          <w:lang w:val="zh-CN"/>
        </w:rPr>
        <w:t>政务服务科（登记注册科）</w:t>
      </w:r>
      <w:r>
        <w:rPr>
          <w:rFonts w:hint="eastAsia" w:ascii="仿宋_GB2312" w:eastAsia="仿宋_GB2312" w:cs="仿宋_GB2312"/>
          <w:sz w:val="32"/>
          <w:szCs w:val="32"/>
          <w:lang w:val="zh-CN"/>
        </w:rPr>
        <w:t>、</w:t>
      </w:r>
      <w:r>
        <w:rPr>
          <w:rFonts w:ascii="仿宋_GB2312" w:eastAsia="仿宋_GB2312" w:cs="仿宋_GB2312"/>
          <w:sz w:val="32"/>
          <w:szCs w:val="32"/>
          <w:lang w:val="zh-CN"/>
        </w:rPr>
        <w:t>信用监督管理科（市场监管大数据科）</w:t>
      </w:r>
      <w:r>
        <w:rPr>
          <w:rFonts w:hint="eastAsia" w:ascii="仿宋_GB2312" w:eastAsia="仿宋_GB2312" w:cs="仿宋_GB2312"/>
          <w:sz w:val="32"/>
          <w:szCs w:val="32"/>
          <w:lang w:val="zh-CN"/>
        </w:rPr>
        <w:t>、</w:t>
      </w:r>
      <w:r>
        <w:rPr>
          <w:rFonts w:ascii="仿宋_GB2312" w:eastAsia="仿宋_GB2312" w:cs="仿宋_GB2312"/>
          <w:sz w:val="32"/>
          <w:szCs w:val="32"/>
          <w:lang w:val="zh-CN"/>
        </w:rPr>
        <w:t>市场监督管理科（反垄断科）</w:t>
      </w:r>
      <w:r>
        <w:rPr>
          <w:rFonts w:hint="eastAsia" w:ascii="仿宋_GB2312" w:eastAsia="仿宋_GB2312" w:cs="仿宋_GB2312"/>
          <w:sz w:val="32"/>
          <w:szCs w:val="32"/>
          <w:lang w:val="zh-CN"/>
        </w:rPr>
        <w:t>、</w:t>
      </w:r>
      <w:r>
        <w:rPr>
          <w:rFonts w:ascii="仿宋_GB2312" w:eastAsia="仿宋_GB2312" w:cs="仿宋_GB2312"/>
          <w:sz w:val="32"/>
          <w:szCs w:val="32"/>
          <w:lang w:val="zh-CN"/>
        </w:rPr>
        <w:t>价格监督检查科</w:t>
      </w:r>
      <w:r>
        <w:rPr>
          <w:rFonts w:hint="eastAsia" w:ascii="仿宋_GB2312" w:eastAsia="仿宋_GB2312" w:cs="仿宋_GB2312"/>
          <w:sz w:val="32"/>
          <w:szCs w:val="32"/>
          <w:lang w:val="zh-CN"/>
        </w:rPr>
        <w:t>、</w:t>
      </w:r>
      <w:r>
        <w:rPr>
          <w:rFonts w:ascii="仿宋_GB2312" w:eastAsia="仿宋_GB2312" w:cs="仿宋_GB2312"/>
          <w:sz w:val="32"/>
          <w:szCs w:val="32"/>
          <w:lang w:val="zh-CN"/>
        </w:rPr>
        <w:t>抽检监测科（消费者权益保护科）</w:t>
      </w:r>
      <w:r>
        <w:rPr>
          <w:rFonts w:hint="eastAsia" w:ascii="仿宋_GB2312" w:eastAsia="仿宋_GB2312" w:cs="仿宋_GB2312"/>
          <w:sz w:val="32"/>
          <w:szCs w:val="32"/>
          <w:lang w:val="zh-CN"/>
        </w:rPr>
        <w:t>、</w:t>
      </w:r>
      <w:r>
        <w:rPr>
          <w:rFonts w:ascii="仿宋_GB2312" w:eastAsia="仿宋_GB2312" w:cs="仿宋_GB2312"/>
          <w:sz w:val="32"/>
          <w:szCs w:val="32"/>
          <w:lang w:val="zh-CN"/>
        </w:rPr>
        <w:t>网络交易监督管理科</w:t>
      </w:r>
      <w:r>
        <w:rPr>
          <w:rFonts w:hint="eastAsia" w:ascii="仿宋_GB2312" w:eastAsia="仿宋_GB2312" w:cs="仿宋_GB2312"/>
          <w:sz w:val="32"/>
          <w:szCs w:val="32"/>
          <w:lang w:val="zh-CN"/>
        </w:rPr>
        <w:t>、</w:t>
      </w:r>
      <w:r>
        <w:rPr>
          <w:rFonts w:ascii="仿宋_GB2312" w:eastAsia="仿宋_GB2312" w:cs="仿宋_GB2312"/>
          <w:sz w:val="32"/>
          <w:szCs w:val="32"/>
          <w:lang w:val="zh-CN"/>
        </w:rPr>
        <w:t>广告监督管理科</w:t>
      </w:r>
      <w:r>
        <w:rPr>
          <w:rFonts w:hint="eastAsia" w:ascii="仿宋_GB2312" w:eastAsia="仿宋_GB2312" w:cs="仿宋_GB2312"/>
          <w:sz w:val="32"/>
          <w:szCs w:val="32"/>
          <w:lang w:val="zh-CN"/>
        </w:rPr>
        <w:t>、</w:t>
      </w:r>
      <w:r>
        <w:rPr>
          <w:rFonts w:ascii="仿宋_GB2312" w:eastAsia="仿宋_GB2312" w:cs="仿宋_GB2312"/>
          <w:sz w:val="32"/>
          <w:szCs w:val="32"/>
          <w:lang w:val="zh-CN"/>
        </w:rPr>
        <w:t>质量发展科</w:t>
      </w:r>
      <w:r>
        <w:rPr>
          <w:rFonts w:hint="eastAsia" w:ascii="仿宋_GB2312" w:eastAsia="仿宋_GB2312" w:cs="仿宋_GB2312"/>
          <w:sz w:val="32"/>
          <w:szCs w:val="32"/>
          <w:lang w:val="zh-CN"/>
        </w:rPr>
        <w:t>、</w:t>
      </w:r>
      <w:r>
        <w:rPr>
          <w:rFonts w:ascii="仿宋_GB2312" w:eastAsia="仿宋_GB2312" w:cs="仿宋_GB2312"/>
          <w:sz w:val="32"/>
          <w:szCs w:val="32"/>
          <w:lang w:val="zh-CN"/>
        </w:rPr>
        <w:t>产品质量安全监督管理科</w:t>
      </w:r>
      <w:r>
        <w:rPr>
          <w:rFonts w:hint="eastAsia" w:ascii="仿宋_GB2312" w:eastAsia="仿宋_GB2312" w:cs="仿宋_GB2312"/>
          <w:sz w:val="32"/>
          <w:szCs w:val="32"/>
          <w:lang w:val="zh-CN"/>
        </w:rPr>
        <w:t>、</w:t>
      </w:r>
      <w:r>
        <w:rPr>
          <w:rFonts w:ascii="仿宋_GB2312" w:eastAsia="仿宋_GB2312" w:cs="仿宋_GB2312"/>
          <w:sz w:val="32"/>
          <w:szCs w:val="32"/>
          <w:lang w:val="zh-CN"/>
        </w:rPr>
        <w:t>食品安全协调科</w:t>
      </w:r>
      <w:r>
        <w:rPr>
          <w:rFonts w:hint="eastAsia" w:ascii="仿宋_GB2312" w:eastAsia="仿宋_GB2312" w:cs="仿宋_GB2312"/>
          <w:sz w:val="32"/>
          <w:szCs w:val="32"/>
          <w:lang w:val="zh-CN"/>
        </w:rPr>
        <w:t>、</w:t>
      </w:r>
      <w:r>
        <w:rPr>
          <w:rFonts w:ascii="仿宋_GB2312" w:eastAsia="仿宋_GB2312" w:cs="仿宋_GB2312"/>
          <w:sz w:val="32"/>
          <w:szCs w:val="32"/>
          <w:lang w:val="zh-CN"/>
        </w:rPr>
        <w:t>食品生产安全监督管理科</w:t>
      </w:r>
      <w:r>
        <w:rPr>
          <w:rFonts w:hint="eastAsia" w:ascii="仿宋_GB2312" w:eastAsia="仿宋_GB2312" w:cs="仿宋_GB2312"/>
          <w:sz w:val="32"/>
          <w:szCs w:val="32"/>
          <w:lang w:val="zh-CN"/>
        </w:rPr>
        <w:t>、</w:t>
      </w:r>
      <w:r>
        <w:rPr>
          <w:rFonts w:ascii="仿宋_GB2312" w:eastAsia="仿宋_GB2312" w:cs="仿宋_GB2312"/>
          <w:sz w:val="32"/>
          <w:szCs w:val="32"/>
          <w:lang w:val="zh-CN"/>
        </w:rPr>
        <w:t>食品流通安全监督管理科</w:t>
      </w:r>
      <w:r>
        <w:rPr>
          <w:rFonts w:hint="eastAsia" w:ascii="仿宋_GB2312" w:eastAsia="仿宋_GB2312" w:cs="仿宋_GB2312"/>
          <w:sz w:val="32"/>
          <w:szCs w:val="32"/>
          <w:lang w:val="zh-CN"/>
        </w:rPr>
        <w:t>、</w:t>
      </w:r>
      <w:r>
        <w:rPr>
          <w:rFonts w:ascii="仿宋_GB2312" w:eastAsia="仿宋_GB2312" w:cs="仿宋_GB2312"/>
          <w:sz w:val="32"/>
          <w:szCs w:val="32"/>
          <w:lang w:val="zh-CN"/>
        </w:rPr>
        <w:t>餐饮食品安全监督管理科</w:t>
      </w:r>
      <w:r>
        <w:rPr>
          <w:rFonts w:hint="eastAsia" w:ascii="仿宋_GB2312" w:eastAsia="仿宋_GB2312" w:cs="仿宋_GB2312"/>
          <w:sz w:val="32"/>
          <w:szCs w:val="32"/>
          <w:lang w:val="zh-CN"/>
        </w:rPr>
        <w:t>、</w:t>
      </w:r>
      <w:r>
        <w:rPr>
          <w:rFonts w:ascii="仿宋_GB2312" w:eastAsia="仿宋_GB2312" w:cs="仿宋_GB2312"/>
          <w:sz w:val="32"/>
          <w:szCs w:val="32"/>
          <w:lang w:val="zh-CN"/>
        </w:rPr>
        <w:t>特种设备安全监察科</w:t>
      </w:r>
      <w:r>
        <w:rPr>
          <w:rFonts w:hint="eastAsia" w:ascii="仿宋_GB2312" w:eastAsia="仿宋_GB2312" w:cs="仿宋_GB2312"/>
          <w:sz w:val="32"/>
          <w:szCs w:val="32"/>
          <w:lang w:val="zh-CN"/>
        </w:rPr>
        <w:t>、</w:t>
      </w:r>
      <w:r>
        <w:rPr>
          <w:rFonts w:ascii="仿宋_GB2312" w:eastAsia="仿宋_GB2312" w:cs="仿宋_GB2312"/>
          <w:sz w:val="32"/>
          <w:szCs w:val="32"/>
          <w:lang w:val="zh-CN"/>
        </w:rPr>
        <w:t>计量科</w:t>
      </w:r>
      <w:r>
        <w:rPr>
          <w:rFonts w:hint="eastAsia" w:ascii="仿宋_GB2312" w:eastAsia="仿宋_GB2312" w:cs="仿宋_GB2312"/>
          <w:sz w:val="32"/>
          <w:szCs w:val="32"/>
          <w:lang w:val="zh-CN"/>
        </w:rPr>
        <w:t>、</w:t>
      </w:r>
      <w:r>
        <w:rPr>
          <w:rFonts w:ascii="仿宋_GB2312" w:eastAsia="仿宋_GB2312" w:cs="仿宋_GB2312"/>
          <w:sz w:val="32"/>
          <w:szCs w:val="32"/>
          <w:lang w:val="zh-CN"/>
        </w:rPr>
        <w:t>标准化科</w:t>
      </w:r>
      <w:r>
        <w:rPr>
          <w:rFonts w:hint="eastAsia" w:ascii="仿宋_GB2312" w:eastAsia="仿宋_GB2312" w:cs="仿宋_GB2312"/>
          <w:sz w:val="32"/>
          <w:szCs w:val="32"/>
          <w:lang w:val="zh-CN"/>
        </w:rPr>
        <w:t>、</w:t>
      </w:r>
      <w:r>
        <w:rPr>
          <w:rFonts w:ascii="仿宋_GB2312" w:eastAsia="仿宋_GB2312" w:cs="仿宋_GB2312"/>
          <w:sz w:val="32"/>
          <w:szCs w:val="32"/>
          <w:lang w:val="zh-CN"/>
        </w:rPr>
        <w:t>认证监督管理科</w:t>
      </w:r>
      <w:r>
        <w:rPr>
          <w:rFonts w:hint="eastAsia" w:ascii="仿宋_GB2312" w:eastAsia="仿宋_GB2312" w:cs="仿宋_GB2312"/>
          <w:sz w:val="32"/>
          <w:szCs w:val="32"/>
          <w:lang w:val="zh-CN"/>
        </w:rPr>
        <w:t>、</w:t>
      </w:r>
      <w:r>
        <w:rPr>
          <w:rFonts w:ascii="仿宋_GB2312" w:eastAsia="仿宋_GB2312" w:cs="仿宋_GB2312"/>
          <w:sz w:val="32"/>
          <w:szCs w:val="32"/>
          <w:lang w:val="zh-CN"/>
        </w:rPr>
        <w:t>检验检测监督管理科</w:t>
      </w:r>
      <w:r>
        <w:rPr>
          <w:rFonts w:hint="eastAsia" w:ascii="仿宋_GB2312" w:eastAsia="仿宋_GB2312" w:cs="仿宋_GB2312"/>
          <w:sz w:val="32"/>
          <w:szCs w:val="32"/>
          <w:lang w:val="zh-CN"/>
        </w:rPr>
        <w:t>、</w:t>
      </w:r>
      <w:r>
        <w:rPr>
          <w:rFonts w:ascii="仿宋_GB2312" w:eastAsia="仿宋_GB2312" w:cs="仿宋_GB2312"/>
          <w:sz w:val="32"/>
          <w:szCs w:val="32"/>
          <w:lang w:val="zh-CN"/>
        </w:rPr>
        <w:t>知识产权促进科</w:t>
      </w:r>
      <w:r>
        <w:rPr>
          <w:rFonts w:hint="eastAsia" w:ascii="仿宋_GB2312" w:eastAsia="仿宋_GB2312" w:cs="仿宋_GB2312"/>
          <w:sz w:val="32"/>
          <w:szCs w:val="32"/>
          <w:lang w:val="zh-CN"/>
        </w:rPr>
        <w:t>、</w:t>
      </w:r>
      <w:r>
        <w:rPr>
          <w:rFonts w:ascii="仿宋_GB2312" w:eastAsia="仿宋_GB2312" w:cs="仿宋_GB2312"/>
          <w:sz w:val="32"/>
          <w:szCs w:val="32"/>
          <w:lang w:val="zh-CN"/>
        </w:rPr>
        <w:t>知识产权保护科</w:t>
      </w:r>
      <w:r>
        <w:rPr>
          <w:rFonts w:hint="eastAsia" w:ascii="仿宋_GB2312" w:eastAsia="仿宋_GB2312" w:cs="仿宋_GB2312"/>
          <w:sz w:val="32"/>
          <w:szCs w:val="32"/>
          <w:lang w:val="zh-CN"/>
        </w:rPr>
        <w:t>、</w:t>
      </w:r>
      <w:r>
        <w:rPr>
          <w:rFonts w:ascii="仿宋_GB2312" w:eastAsia="仿宋_GB2312" w:cs="仿宋_GB2312"/>
          <w:sz w:val="32"/>
          <w:szCs w:val="32"/>
          <w:lang w:val="zh-CN"/>
        </w:rPr>
        <w:t>非公经济促进科</w:t>
      </w:r>
      <w:r>
        <w:rPr>
          <w:rFonts w:hint="eastAsia" w:ascii="仿宋_GB2312" w:eastAsia="仿宋_GB2312" w:cs="仿宋_GB2312"/>
          <w:sz w:val="32"/>
          <w:szCs w:val="32"/>
          <w:lang w:val="zh-CN"/>
        </w:rPr>
        <w:t>、</w:t>
      </w:r>
      <w:r>
        <w:rPr>
          <w:rFonts w:ascii="仿宋_GB2312" w:eastAsia="仿宋_GB2312" w:cs="仿宋_GB2312"/>
          <w:sz w:val="32"/>
          <w:szCs w:val="32"/>
          <w:lang w:val="zh-CN"/>
        </w:rPr>
        <w:t>科技和财务科（审计科）</w:t>
      </w:r>
      <w:r>
        <w:rPr>
          <w:rFonts w:hint="eastAsia" w:ascii="仿宋_GB2312" w:eastAsia="仿宋_GB2312" w:cs="仿宋_GB2312"/>
          <w:sz w:val="32"/>
          <w:szCs w:val="32"/>
          <w:lang w:val="zh-CN"/>
        </w:rPr>
        <w:t>、</w:t>
      </w:r>
      <w:r>
        <w:rPr>
          <w:rFonts w:ascii="仿宋_GB2312" w:eastAsia="仿宋_GB2312" w:cs="仿宋_GB2312"/>
          <w:sz w:val="32"/>
          <w:szCs w:val="32"/>
          <w:lang w:val="zh-CN"/>
        </w:rPr>
        <w:t>人事科</w:t>
      </w:r>
      <w:r>
        <w:rPr>
          <w:rFonts w:hint="eastAsia" w:ascii="仿宋_GB2312" w:eastAsia="仿宋_GB2312" w:cs="仿宋_GB2312"/>
          <w:sz w:val="32"/>
          <w:szCs w:val="32"/>
          <w:lang w:val="zh-CN"/>
        </w:rPr>
        <w:t>、</w:t>
      </w:r>
      <w:r>
        <w:rPr>
          <w:rFonts w:ascii="仿宋_GB2312" w:eastAsia="仿宋_GB2312" w:cs="仿宋_GB2312"/>
          <w:sz w:val="32"/>
          <w:szCs w:val="32"/>
          <w:lang w:val="zh-CN"/>
        </w:rPr>
        <w:t>药品流通监督管理科</w:t>
      </w:r>
      <w:r>
        <w:rPr>
          <w:rFonts w:hint="eastAsia" w:ascii="仿宋_GB2312" w:eastAsia="仿宋_GB2312" w:cs="仿宋_GB2312"/>
          <w:sz w:val="32"/>
          <w:szCs w:val="32"/>
          <w:lang w:val="zh-CN"/>
        </w:rPr>
        <w:t>、</w:t>
      </w:r>
      <w:r>
        <w:rPr>
          <w:rFonts w:ascii="仿宋_GB2312" w:eastAsia="仿宋_GB2312" w:cs="仿宋_GB2312"/>
          <w:sz w:val="32"/>
          <w:szCs w:val="32"/>
          <w:lang w:val="zh-CN"/>
        </w:rPr>
        <w:t>医疗器械监督管理科</w:t>
      </w:r>
      <w:r>
        <w:rPr>
          <w:rFonts w:hint="eastAsia" w:ascii="仿宋_GB2312" w:eastAsia="仿宋_GB2312" w:cs="仿宋_GB2312"/>
          <w:sz w:val="32"/>
          <w:szCs w:val="32"/>
          <w:lang w:val="zh-CN"/>
        </w:rPr>
        <w:t>、</w:t>
      </w:r>
      <w:r>
        <w:rPr>
          <w:rFonts w:ascii="仿宋_GB2312" w:eastAsia="仿宋_GB2312" w:cs="仿宋_GB2312"/>
          <w:sz w:val="32"/>
          <w:szCs w:val="32"/>
          <w:lang w:val="zh-CN"/>
        </w:rPr>
        <w:t>化妆品监督管理科</w:t>
      </w:r>
      <w:r>
        <w:rPr>
          <w:rFonts w:hint="eastAsia" w:ascii="仿宋_GB2312" w:eastAsia="仿宋_GB2312" w:cs="仿宋_GB2312"/>
          <w:sz w:val="32"/>
          <w:szCs w:val="32"/>
          <w:lang w:val="zh-CN"/>
        </w:rPr>
        <w:t>、</w:t>
      </w:r>
      <w:r>
        <w:rPr>
          <w:rFonts w:ascii="仿宋_GB2312" w:eastAsia="仿宋_GB2312" w:cs="仿宋_GB2312"/>
          <w:sz w:val="32"/>
          <w:szCs w:val="32"/>
          <w:lang w:val="zh-CN"/>
        </w:rPr>
        <w:t>主体责任办公室</w:t>
      </w:r>
      <w:r>
        <w:rPr>
          <w:rFonts w:hint="eastAsia" w:ascii="仿宋_GB2312" w:eastAsia="仿宋_GB2312" w:cs="仿宋_GB2312"/>
          <w:sz w:val="32"/>
          <w:szCs w:val="32"/>
          <w:lang w:val="zh-CN"/>
        </w:rPr>
        <w:t>（</w:t>
      </w:r>
      <w:r>
        <w:rPr>
          <w:rFonts w:ascii="仿宋_GB2312" w:eastAsia="仿宋_GB2312" w:cs="仿宋_GB2312"/>
          <w:sz w:val="32"/>
          <w:szCs w:val="32"/>
          <w:lang w:val="zh-CN"/>
        </w:rPr>
        <w:t>主体责任办公室</w:t>
      </w:r>
      <w:r>
        <w:rPr>
          <w:rFonts w:hint="eastAsia" w:ascii="仿宋_GB2312" w:eastAsia="仿宋_GB2312" w:cs="仿宋_GB2312"/>
          <w:sz w:val="32"/>
          <w:szCs w:val="32"/>
          <w:lang w:val="zh-CN"/>
        </w:rPr>
        <w:t>、</w:t>
      </w:r>
      <w:r>
        <w:rPr>
          <w:rFonts w:ascii="仿宋_GB2312" w:eastAsia="仿宋_GB2312" w:cs="仿宋_GB2312"/>
          <w:sz w:val="32"/>
          <w:szCs w:val="32"/>
          <w:lang w:val="zh-CN"/>
        </w:rPr>
        <w:t>中共三门峡市非公有制经济组织工作委员会办公室</w:t>
      </w:r>
      <w:r>
        <w:rPr>
          <w:rFonts w:hint="eastAsia" w:ascii="仿宋_GB2312" w:eastAsia="仿宋_GB2312" w:cs="仿宋_GB2312"/>
          <w:sz w:val="32"/>
          <w:szCs w:val="32"/>
          <w:lang w:val="zh-CN"/>
        </w:rPr>
        <w:t>、</w:t>
      </w:r>
      <w:r>
        <w:rPr>
          <w:rFonts w:ascii="仿宋_GB2312" w:eastAsia="仿宋_GB2312" w:cs="仿宋_GB2312"/>
          <w:sz w:val="32"/>
          <w:szCs w:val="32"/>
          <w:lang w:val="zh-CN"/>
        </w:rPr>
        <w:t>机关党委</w:t>
      </w:r>
      <w:r>
        <w:rPr>
          <w:rFonts w:hint="eastAsia" w:ascii="仿宋_GB2312" w:eastAsia="仿宋_GB2312" w:cs="仿宋_GB2312"/>
          <w:sz w:val="32"/>
          <w:szCs w:val="32"/>
          <w:lang w:val="zh-CN"/>
        </w:rPr>
        <w:t>、</w:t>
      </w:r>
      <w:r>
        <w:rPr>
          <w:rFonts w:ascii="仿宋_GB2312" w:eastAsia="仿宋_GB2312" w:cs="仿宋_GB2312"/>
          <w:sz w:val="32"/>
          <w:szCs w:val="32"/>
          <w:lang w:val="zh-CN"/>
        </w:rPr>
        <w:t>离退休干部工作科</w:t>
      </w:r>
      <w:r>
        <w:rPr>
          <w:rFonts w:hint="eastAsia" w:ascii="仿宋_GB2312" w:eastAsia="仿宋_GB2312" w:cs="仿宋_GB2312"/>
          <w:sz w:val="32"/>
          <w:szCs w:val="32"/>
          <w:lang w:val="zh-CN"/>
        </w:rPr>
        <w:t>）；</w:t>
      </w:r>
      <w:r>
        <w:rPr>
          <w:rFonts w:hint="eastAsia" w:ascii="仿宋_GB2312" w:eastAsia="仿宋_GB2312" w:cs="仿宋_GB2312"/>
          <w:sz w:val="32"/>
          <w:szCs w:val="32"/>
        </w:rPr>
        <w:t>主要职责是:</w:t>
      </w:r>
    </w:p>
    <w:p>
      <w:pPr>
        <w:widowControl/>
        <w:shd w:val="clear" w:color="auto" w:fill="FFFFFF"/>
        <w:spacing w:line="360" w:lineRule="auto"/>
        <w:ind w:firstLine="640" w:firstLineChars="200"/>
        <w:rPr>
          <w:rFonts w:ascii="仿宋_GB2312" w:eastAsia="仿宋_GB2312" w:cs="仿宋_GB2312"/>
          <w:sz w:val="32"/>
          <w:szCs w:val="32"/>
          <w:lang w:val="zh-CN"/>
        </w:rPr>
      </w:pPr>
      <w:r>
        <w:rPr>
          <w:rFonts w:ascii="仿宋_GB2312" w:eastAsia="仿宋_GB2312" w:cs="仿宋_GB2312"/>
          <w:sz w:val="32"/>
          <w:szCs w:val="32"/>
          <w:lang w:val="zh-CN"/>
        </w:rPr>
        <w:t>（一）负责全</w:t>
      </w:r>
      <w:r>
        <w:rPr>
          <w:rFonts w:hint="eastAsia" w:ascii="仿宋_GB2312" w:eastAsia="仿宋_GB2312" w:cs="仿宋_GB2312"/>
          <w:sz w:val="32"/>
          <w:szCs w:val="32"/>
          <w:lang w:val="zh-CN"/>
        </w:rPr>
        <w:t>市</w:t>
      </w:r>
      <w:r>
        <w:rPr>
          <w:rFonts w:ascii="仿宋_GB2312" w:eastAsia="仿宋_GB2312" w:cs="仿宋_GB2312"/>
          <w:sz w:val="32"/>
          <w:szCs w:val="32"/>
          <w:lang w:val="zh-CN"/>
        </w:rPr>
        <w:t>场综合监督管理。实施市场监督管理有关法律和政策，起草市场监督管理有关规章、标准，组织实施全市质量强市战略、食品安全战略、标准化战略、知识产权战略。拟订并组织实施有关规划，规范和维护市场秩序，营造诚实守信、公平竞争的市场环境。</w:t>
      </w:r>
    </w:p>
    <w:p>
      <w:pPr>
        <w:widowControl/>
        <w:shd w:val="clear" w:color="auto" w:fill="FFFFFF"/>
        <w:spacing w:line="360" w:lineRule="auto"/>
        <w:ind w:firstLine="640" w:firstLineChars="200"/>
        <w:rPr>
          <w:rFonts w:ascii="仿宋_GB2312" w:eastAsia="仿宋_GB2312" w:cs="仿宋_GB2312"/>
          <w:sz w:val="32"/>
          <w:szCs w:val="32"/>
          <w:lang w:val="zh-CN"/>
        </w:rPr>
      </w:pPr>
      <w:r>
        <w:rPr>
          <w:rFonts w:ascii="仿宋_GB2312" w:eastAsia="仿宋_GB2312" w:cs="仿宋_GB2312"/>
          <w:sz w:val="32"/>
          <w:szCs w:val="32"/>
          <w:lang w:val="zh-CN"/>
        </w:rPr>
        <w:t>（二）负责全</w:t>
      </w:r>
      <w:r>
        <w:rPr>
          <w:rFonts w:hint="eastAsia" w:ascii="仿宋_GB2312" w:eastAsia="仿宋_GB2312" w:cs="仿宋_GB2312"/>
          <w:sz w:val="32"/>
          <w:szCs w:val="32"/>
          <w:lang w:val="zh-CN"/>
        </w:rPr>
        <w:t>市</w:t>
      </w:r>
      <w:r>
        <w:rPr>
          <w:rFonts w:ascii="仿宋_GB2312" w:eastAsia="仿宋_GB2312" w:cs="仿宋_GB2312"/>
          <w:sz w:val="32"/>
          <w:szCs w:val="32"/>
          <w:lang w:val="zh-CN"/>
        </w:rPr>
        <w:t>场主体统一登记注册。组织指导全市各类企业、农民专业合作社和从事经营活动的单位、个体工商户以及外国（地区）企业常驻代表机构等市场主体的登记注册工作。建立市场主体信息公示和共享机制，依法公示和共享有关信息，加强信用监管，推动市场主体信用体系建设。</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640" w:firstLineChars="200"/>
        <w:textAlignment w:val="auto"/>
        <w:rPr>
          <w:rFonts w:ascii="仿宋_GB2312" w:eastAsia="仿宋_GB2312" w:cs="仿宋_GB2312"/>
          <w:sz w:val="32"/>
          <w:szCs w:val="32"/>
          <w:lang w:val="zh-CN"/>
        </w:rPr>
      </w:pPr>
      <w:r>
        <w:rPr>
          <w:rFonts w:ascii="仿宋_GB2312" w:eastAsia="仿宋_GB2312" w:cs="仿宋_GB2312"/>
          <w:sz w:val="32"/>
          <w:szCs w:val="32"/>
          <w:lang w:val="zh-CN"/>
        </w:rPr>
        <w:t>（三）负责组织和指导全</w:t>
      </w:r>
      <w:r>
        <w:rPr>
          <w:rFonts w:hint="eastAsia" w:ascii="仿宋_GB2312" w:eastAsia="仿宋_GB2312" w:cs="仿宋_GB2312"/>
          <w:sz w:val="32"/>
          <w:szCs w:val="32"/>
          <w:lang w:val="zh-CN"/>
        </w:rPr>
        <w:t>市</w:t>
      </w:r>
      <w:r>
        <w:rPr>
          <w:rFonts w:ascii="仿宋_GB2312" w:eastAsia="仿宋_GB2312" w:cs="仿宋_GB2312"/>
          <w:sz w:val="32"/>
          <w:szCs w:val="32"/>
          <w:lang w:val="zh-CN"/>
        </w:rPr>
        <w:t>场监管综合执法工作。指导全</w:t>
      </w:r>
      <w:r>
        <w:rPr>
          <w:rFonts w:hint="eastAsia" w:ascii="仿宋_GB2312" w:eastAsia="仿宋_GB2312" w:cs="仿宋_GB2312"/>
          <w:sz w:val="32"/>
          <w:szCs w:val="32"/>
          <w:lang w:val="zh-CN"/>
        </w:rPr>
        <w:t>市</w:t>
      </w:r>
      <w:r>
        <w:rPr>
          <w:rFonts w:ascii="仿宋_GB2312" w:eastAsia="仿宋_GB2312" w:cs="仿宋_GB2312"/>
          <w:sz w:val="32"/>
          <w:szCs w:val="32"/>
          <w:lang w:val="zh-CN"/>
        </w:rPr>
        <w:t>场监管综合执法队伍建设，组织查处重大复杂案件和跨区域执法的组织协调工作。规范全</w:t>
      </w:r>
      <w:r>
        <w:rPr>
          <w:rFonts w:hint="eastAsia" w:ascii="仿宋_GB2312" w:eastAsia="仿宋_GB2312" w:cs="仿宋_GB2312"/>
          <w:sz w:val="32"/>
          <w:szCs w:val="32"/>
          <w:lang w:val="zh-CN"/>
        </w:rPr>
        <w:t>市</w:t>
      </w:r>
      <w:r>
        <w:rPr>
          <w:rFonts w:ascii="仿宋_GB2312" w:eastAsia="仿宋_GB2312" w:cs="仿宋_GB2312"/>
          <w:sz w:val="32"/>
          <w:szCs w:val="32"/>
          <w:lang w:val="zh-CN"/>
        </w:rPr>
        <w:t>场监管行政执法行为</w:t>
      </w:r>
      <w:r>
        <w:rPr>
          <w:rFonts w:hint="eastAsia" w:ascii="仿宋_GB2312" w:eastAsia="仿宋_GB2312" w:cs="仿宋_GB2312"/>
          <w:sz w:val="32"/>
          <w:szCs w:val="32"/>
          <w:lang w:val="zh-CN"/>
        </w:rPr>
        <w:t>。</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640" w:firstLineChars="200"/>
        <w:textAlignment w:val="auto"/>
        <w:rPr>
          <w:rFonts w:ascii="仿宋_GB2312" w:eastAsia="仿宋_GB2312" w:cs="仿宋_GB2312"/>
          <w:sz w:val="32"/>
          <w:szCs w:val="32"/>
          <w:lang w:val="zh-CN"/>
        </w:rPr>
      </w:pPr>
      <w:r>
        <w:rPr>
          <w:rFonts w:ascii="仿宋_GB2312" w:eastAsia="仿宋_GB2312" w:cs="仿宋_GB2312"/>
          <w:sz w:val="32"/>
          <w:szCs w:val="32"/>
          <w:lang w:val="zh-CN"/>
        </w:rPr>
        <w:t>（四）负责全市反垄断统一执法，统筹推进竞争政策实施，指导实施公平竞争审查制度。根据授权，承担相关反垄断执法工作。</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640" w:firstLineChars="200"/>
        <w:textAlignment w:val="auto"/>
        <w:rPr>
          <w:rFonts w:ascii="仿宋_GB2312" w:eastAsia="仿宋_GB2312" w:cs="仿宋_GB2312"/>
          <w:sz w:val="32"/>
          <w:szCs w:val="32"/>
          <w:lang w:val="zh-CN"/>
        </w:rPr>
      </w:pPr>
      <w:r>
        <w:rPr>
          <w:rFonts w:ascii="仿宋_GB2312" w:eastAsia="仿宋_GB2312" w:cs="仿宋_GB2312"/>
          <w:sz w:val="32"/>
          <w:szCs w:val="32"/>
          <w:lang w:val="zh-CN"/>
        </w:rPr>
        <w:t>（五）负责监督管理市场秩序。依法监督管理市场交易、网络商品交易及有关服务的行为。组织指导查处不正当竞争、违法直销、传销、侵犯商标专利知识产权和制售假冒伪劣行为。组织指导全市价格监督检查工作。指导全市广告业发展，监督管理广告活动。指导查处无照生产经营和相关无证生产经营行为。拟订全市消费者权益保护的具体措施，指导三门峡市消费者协会开展消费维权工作。</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640" w:firstLineChars="200"/>
        <w:textAlignment w:val="auto"/>
        <w:rPr>
          <w:rFonts w:ascii="仿宋_GB2312" w:eastAsia="仿宋_GB2312" w:cs="仿宋_GB2312"/>
          <w:sz w:val="32"/>
          <w:szCs w:val="32"/>
          <w:lang w:val="zh-CN"/>
        </w:rPr>
      </w:pPr>
      <w:r>
        <w:rPr>
          <w:rFonts w:hint="eastAsia" w:ascii="仿宋_GB2312" w:eastAsia="仿宋_GB2312" w:cs="仿宋_GB2312"/>
          <w:sz w:val="32"/>
          <w:szCs w:val="32"/>
          <w:lang w:val="zh-CN"/>
        </w:rPr>
        <w:t>（</w:t>
      </w:r>
      <w:r>
        <w:rPr>
          <w:rFonts w:ascii="仿宋_GB2312" w:eastAsia="仿宋_GB2312" w:cs="仿宋_GB2312"/>
          <w:sz w:val="32"/>
          <w:szCs w:val="32"/>
          <w:lang w:val="zh-CN"/>
        </w:rPr>
        <w:t>六）负责全市宏观质量管理。拟订并实施质量发展的制度措施。统筹全市质量基础设施建设与应用。会同有关部门组织实施重大工程设备质量监理制度，组织重大产品质量事故调查，统一实施缺陷产品召回制度，监督管理产品防伪工作。</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640" w:firstLineChars="200"/>
        <w:textAlignment w:val="auto"/>
        <w:rPr>
          <w:rFonts w:ascii="仿宋_GB2312" w:eastAsia="仿宋_GB2312" w:cs="仿宋_GB2312"/>
          <w:sz w:val="32"/>
          <w:szCs w:val="32"/>
          <w:lang w:val="zh-CN"/>
        </w:rPr>
      </w:pPr>
      <w:r>
        <w:rPr>
          <w:rFonts w:ascii="仿宋_GB2312" w:eastAsia="仿宋_GB2312" w:cs="仿宋_GB2312"/>
          <w:sz w:val="32"/>
          <w:szCs w:val="32"/>
          <w:lang w:val="zh-CN"/>
        </w:rPr>
        <w:t>（七）负责全市产品质量安全监督管理。组织实施产品质量安全风险监控和监督抽查工作。组织实施质量分级制度、质量安全追溯制度。负责全市工业产品生产许可管理工作。负责全市纤维质量监督工作。</w:t>
      </w:r>
    </w:p>
    <w:p>
      <w:pPr>
        <w:widowControl/>
        <w:shd w:val="clear" w:color="auto" w:fill="FFFFFF"/>
        <w:spacing w:line="360" w:lineRule="auto"/>
        <w:ind w:firstLine="640" w:firstLineChars="200"/>
        <w:rPr>
          <w:rFonts w:ascii="仿宋_GB2312" w:eastAsia="仿宋_GB2312" w:cs="仿宋_GB2312"/>
          <w:sz w:val="32"/>
          <w:szCs w:val="32"/>
          <w:lang w:val="zh-CN"/>
        </w:rPr>
      </w:pPr>
      <w:r>
        <w:rPr>
          <w:rFonts w:ascii="仿宋_GB2312" w:eastAsia="仿宋_GB2312" w:cs="仿宋_GB2312"/>
          <w:sz w:val="32"/>
          <w:szCs w:val="32"/>
          <w:lang w:val="zh-CN"/>
        </w:rPr>
        <w:t>（八）负责全市特种设备安全监督管理。综合管理特种设备安全监察、监督工作，监督检查高耗能特种设备节能标准和锅炉环境保护标准的执行情况。组织指导特种设备安全事故调查工作。</w:t>
      </w:r>
    </w:p>
    <w:p>
      <w:pPr>
        <w:widowControl/>
        <w:shd w:val="clear" w:color="auto" w:fill="FFFFFF"/>
        <w:spacing w:line="360" w:lineRule="auto"/>
        <w:ind w:firstLine="640" w:firstLineChars="200"/>
        <w:rPr>
          <w:rFonts w:ascii="仿宋_GB2312" w:eastAsia="仿宋_GB2312" w:cs="仿宋_GB2312"/>
          <w:sz w:val="32"/>
          <w:szCs w:val="32"/>
          <w:lang w:val="zh-CN"/>
        </w:rPr>
      </w:pPr>
      <w:r>
        <w:rPr>
          <w:rFonts w:ascii="仿宋_GB2312" w:eastAsia="仿宋_GB2312" w:cs="仿宋_GB2312"/>
          <w:sz w:val="32"/>
          <w:szCs w:val="32"/>
          <w:lang w:val="zh-CN"/>
        </w:rPr>
        <w:t>（九）负责全市食品安全监督管理综合协调。组织拟订全市食品安全政策措施并组织实施。负责食品安全应急体系建设，组织指导重大食品安全事件应急处置和调查处理工作。建立健全食品安全重要信息直报制度。</w:t>
      </w:r>
    </w:p>
    <w:p>
      <w:pPr>
        <w:widowControl/>
        <w:shd w:val="clear" w:color="auto" w:fill="FFFFFF"/>
        <w:spacing w:line="360" w:lineRule="auto"/>
        <w:ind w:firstLine="640" w:firstLineChars="200"/>
        <w:rPr>
          <w:rFonts w:ascii="仿宋_GB2312" w:eastAsia="仿宋_GB2312" w:cs="仿宋_GB2312"/>
          <w:sz w:val="32"/>
          <w:szCs w:val="32"/>
          <w:lang w:val="zh-CN"/>
        </w:rPr>
      </w:pPr>
      <w:r>
        <w:rPr>
          <w:rFonts w:ascii="仿宋_GB2312" w:eastAsia="仿宋_GB2312" w:cs="仿宋_GB2312"/>
          <w:sz w:val="32"/>
          <w:szCs w:val="32"/>
          <w:lang w:val="zh-CN"/>
        </w:rPr>
        <w:t>（十）负责全市食品安全监督管理。建立覆盖全市食品生产、流通、消费全过程的监督检查制度和隐患排查治理机制并组织实施，防范区域性、系统性食品安全风险。推动建立食品生产经营者落实主体责任的机制，指导企业建立健全食品安全追溯体系。组织开展全市食品及相关产品安全监督抽检、风险监测、核查处置和风险预警、风险交流工作。（十一）负责统一管理全市计量工作。推行法定计量单位和国家计量制度，管理计量器具及量值传递和比对工作。规范、监督商品量和市场计量行为。</w:t>
      </w:r>
    </w:p>
    <w:p>
      <w:pPr>
        <w:widowControl/>
        <w:shd w:val="clear" w:color="auto" w:fill="FFFFFF"/>
        <w:spacing w:line="360" w:lineRule="auto"/>
        <w:ind w:firstLine="640" w:firstLineChars="200"/>
        <w:rPr>
          <w:rFonts w:ascii="仿宋_GB2312" w:eastAsia="仿宋_GB2312" w:cs="仿宋_GB2312"/>
          <w:sz w:val="32"/>
          <w:szCs w:val="32"/>
          <w:lang w:val="zh-CN"/>
        </w:rPr>
      </w:pPr>
      <w:r>
        <w:rPr>
          <w:rFonts w:ascii="仿宋_GB2312" w:eastAsia="仿宋_GB2312" w:cs="仿宋_GB2312"/>
          <w:sz w:val="32"/>
          <w:szCs w:val="32"/>
          <w:lang w:val="zh-CN"/>
        </w:rPr>
        <w:t>（十一）负责统一管理全市计量工作。推行法定计量单位和国家计量制度，管理计量器具及量值传递和比对工作。规范、监督商品量和市场计量行为。</w:t>
      </w:r>
    </w:p>
    <w:p>
      <w:pPr>
        <w:widowControl/>
        <w:shd w:val="clear" w:color="auto" w:fill="FFFFFF"/>
        <w:spacing w:line="360" w:lineRule="auto"/>
        <w:ind w:firstLine="640" w:firstLineChars="200"/>
        <w:rPr>
          <w:rFonts w:ascii="仿宋_GB2312" w:eastAsia="仿宋_GB2312" w:cs="仿宋_GB2312"/>
          <w:sz w:val="32"/>
          <w:szCs w:val="32"/>
          <w:lang w:val="zh-CN"/>
        </w:rPr>
      </w:pPr>
      <w:r>
        <w:rPr>
          <w:rFonts w:ascii="仿宋_GB2312" w:eastAsia="仿宋_GB2312" w:cs="仿宋_GB2312"/>
          <w:sz w:val="32"/>
          <w:szCs w:val="32"/>
          <w:lang w:val="zh-CN"/>
        </w:rPr>
        <w:t>（十二）负责统一管理全市标准化工作。组织实施相关标准化法律、法规。依法承担地方标准组织制定工作。依法协调指导和监督地方标准、团体标准、企业标准制定工作。管理全市商品条码工作。</w:t>
      </w:r>
    </w:p>
    <w:p>
      <w:pPr>
        <w:widowControl/>
        <w:shd w:val="clear" w:color="auto" w:fill="FFFFFF"/>
        <w:spacing w:line="360" w:lineRule="auto"/>
        <w:ind w:firstLine="640" w:firstLineChars="200"/>
        <w:rPr>
          <w:rFonts w:ascii="仿宋_GB2312" w:eastAsia="仿宋_GB2312" w:cs="仿宋_GB2312"/>
          <w:sz w:val="32"/>
          <w:szCs w:val="32"/>
          <w:lang w:val="zh-CN"/>
        </w:rPr>
      </w:pPr>
      <w:r>
        <w:rPr>
          <w:rFonts w:ascii="仿宋_GB2312" w:eastAsia="仿宋_GB2312" w:cs="仿宋_GB2312"/>
          <w:sz w:val="32"/>
          <w:szCs w:val="32"/>
          <w:lang w:val="zh-CN"/>
        </w:rPr>
        <w:t>（十三）负责统一管理全市检验检测工作。拟订全市检验检测工作制度并组织实施，推进检验检测机构改革，规范检验检测市场，完善检验检测体系，指导协调检验检测行业发展。</w:t>
      </w:r>
    </w:p>
    <w:p>
      <w:pPr>
        <w:widowControl/>
        <w:shd w:val="clear" w:color="auto" w:fill="FFFFFF"/>
        <w:spacing w:line="360" w:lineRule="auto"/>
        <w:ind w:firstLine="640" w:firstLineChars="200"/>
        <w:rPr>
          <w:rFonts w:ascii="仿宋_GB2312" w:eastAsia="仿宋_GB2312" w:cs="仿宋_GB2312"/>
          <w:sz w:val="32"/>
          <w:szCs w:val="32"/>
          <w:lang w:val="zh-CN"/>
        </w:rPr>
      </w:pPr>
      <w:r>
        <w:rPr>
          <w:rFonts w:ascii="仿宋_GB2312" w:eastAsia="仿宋_GB2312" w:cs="仿宋_GB2312"/>
          <w:sz w:val="32"/>
          <w:szCs w:val="32"/>
          <w:lang w:val="zh-CN"/>
        </w:rPr>
        <w:t>（十四）负责统一管理、监督和综合协调全市认证认可工作。组织实施国家统一的认证认可和合格评定监督管理制度。</w:t>
      </w:r>
    </w:p>
    <w:p>
      <w:pPr>
        <w:widowControl/>
        <w:shd w:val="clear" w:color="auto" w:fill="FFFFFF"/>
        <w:spacing w:line="360" w:lineRule="auto"/>
        <w:ind w:firstLine="640" w:firstLineChars="200"/>
        <w:rPr>
          <w:rFonts w:ascii="仿宋_GB2312" w:eastAsia="仿宋_GB2312" w:cs="仿宋_GB2312"/>
          <w:sz w:val="32"/>
          <w:szCs w:val="32"/>
          <w:lang w:val="zh-CN"/>
        </w:rPr>
      </w:pPr>
      <w:r>
        <w:rPr>
          <w:rFonts w:ascii="仿宋_GB2312" w:eastAsia="仿宋_GB2312" w:cs="仿宋_GB2312"/>
          <w:sz w:val="32"/>
          <w:szCs w:val="32"/>
          <w:lang w:val="zh-CN"/>
        </w:rPr>
        <w:t>（十五）负责全市知识产权监督管理和保护运用。拟订实施知识产权创造、保护、运用和交易运营的政策、规划。建设完善知识产权保护体系、公共服务体系、指导商标专利执法，保护知识产权，促进知识产权创造和运用。</w:t>
      </w:r>
    </w:p>
    <w:p>
      <w:pPr>
        <w:widowControl/>
        <w:shd w:val="clear" w:color="auto" w:fill="FFFFFF"/>
        <w:spacing w:line="360" w:lineRule="auto"/>
        <w:ind w:firstLine="640" w:firstLineChars="200"/>
        <w:rPr>
          <w:rFonts w:ascii="仿宋_GB2312" w:eastAsia="仿宋_GB2312" w:cs="仿宋_GB2312"/>
          <w:sz w:val="32"/>
          <w:szCs w:val="32"/>
          <w:lang w:val="zh-CN"/>
        </w:rPr>
      </w:pPr>
      <w:r>
        <w:rPr>
          <w:rFonts w:ascii="仿宋_GB2312" w:eastAsia="仿宋_GB2312" w:cs="仿宋_GB2312"/>
          <w:sz w:val="32"/>
          <w:szCs w:val="32"/>
          <w:lang w:val="zh-CN"/>
        </w:rPr>
        <w:t>（十六）负责市场监督管理科技和信息化建设、新闻宣传、对外交流与合作。按规定承担技术性贸易措施有关工作。</w:t>
      </w:r>
    </w:p>
    <w:p>
      <w:pPr>
        <w:widowControl/>
        <w:shd w:val="clear" w:color="auto" w:fill="FFFFFF"/>
        <w:spacing w:line="360" w:lineRule="auto"/>
        <w:ind w:firstLine="640" w:firstLineChars="200"/>
        <w:rPr>
          <w:rFonts w:ascii="仿宋_GB2312" w:eastAsia="仿宋_GB2312" w:cs="仿宋_GB2312"/>
          <w:sz w:val="32"/>
          <w:szCs w:val="32"/>
          <w:lang w:val="zh-CN"/>
        </w:rPr>
      </w:pPr>
      <w:r>
        <w:rPr>
          <w:rFonts w:ascii="仿宋_GB2312" w:eastAsia="仿宋_GB2312" w:cs="仿宋_GB2312"/>
          <w:sz w:val="32"/>
          <w:szCs w:val="32"/>
          <w:lang w:val="zh-CN"/>
        </w:rPr>
        <w:t>（十七）负责促进全市非公经济发展，指导、协调全</w:t>
      </w:r>
      <w:r>
        <w:rPr>
          <w:rFonts w:hint="eastAsia" w:ascii="仿宋_GB2312" w:eastAsia="仿宋_GB2312" w:cs="仿宋_GB2312"/>
          <w:sz w:val="32"/>
          <w:szCs w:val="32"/>
          <w:lang w:val="zh-CN"/>
        </w:rPr>
        <w:t>市</w:t>
      </w:r>
      <w:r>
        <w:rPr>
          <w:rFonts w:ascii="仿宋_GB2312" w:eastAsia="仿宋_GB2312" w:cs="仿宋_GB2312"/>
          <w:sz w:val="32"/>
          <w:szCs w:val="32"/>
          <w:lang w:val="zh-CN"/>
        </w:rPr>
        <w:t>场监督管理系统开展小微企业、个体工商户、专业市场党建工作。</w:t>
      </w:r>
    </w:p>
    <w:p>
      <w:pPr>
        <w:widowControl/>
        <w:shd w:val="clear" w:color="auto" w:fill="FFFFFF"/>
        <w:spacing w:line="360" w:lineRule="auto"/>
        <w:ind w:firstLine="640" w:firstLineChars="200"/>
        <w:rPr>
          <w:rFonts w:ascii="仿宋_GB2312" w:eastAsia="仿宋_GB2312" w:cs="仿宋_GB2312"/>
          <w:sz w:val="32"/>
          <w:szCs w:val="32"/>
          <w:lang w:val="zh-CN"/>
        </w:rPr>
      </w:pPr>
      <w:r>
        <w:rPr>
          <w:rFonts w:ascii="仿宋_GB2312" w:eastAsia="仿宋_GB2312" w:cs="仿宋_GB2312"/>
          <w:sz w:val="32"/>
          <w:szCs w:val="32"/>
          <w:lang w:val="zh-CN"/>
        </w:rPr>
        <w:t>（十八）负责全市药品（含中药、民族药，下同）、医疗器械和化妆品安全监督管理。贯彻执行药品、医疗器械和化妆品法律、法规。</w:t>
      </w:r>
    </w:p>
    <w:p>
      <w:pPr>
        <w:widowControl/>
        <w:shd w:val="clear" w:color="auto" w:fill="FFFFFF"/>
        <w:spacing w:line="360" w:lineRule="auto"/>
        <w:ind w:firstLine="640" w:firstLineChars="200"/>
        <w:rPr>
          <w:rFonts w:ascii="仿宋_GB2312" w:eastAsia="仿宋_GB2312" w:cs="仿宋_GB2312"/>
          <w:sz w:val="32"/>
          <w:szCs w:val="32"/>
          <w:lang w:val="zh-CN"/>
        </w:rPr>
      </w:pPr>
      <w:r>
        <w:rPr>
          <w:rFonts w:ascii="仿宋_GB2312" w:eastAsia="仿宋_GB2312" w:cs="仿宋_GB2312"/>
          <w:sz w:val="32"/>
          <w:szCs w:val="32"/>
          <w:lang w:val="zh-CN"/>
        </w:rPr>
        <w:t>（十九）监督实施国家药品、医疗器械和化妆品标准和分类管理制度。配合实施中药品种保护制度和国家基本药物制度。</w:t>
      </w:r>
    </w:p>
    <w:p>
      <w:pPr>
        <w:widowControl/>
        <w:shd w:val="clear" w:color="auto" w:fill="FFFFFF"/>
        <w:spacing w:line="360" w:lineRule="auto"/>
        <w:ind w:firstLine="640" w:firstLineChars="200"/>
        <w:rPr>
          <w:rFonts w:ascii="仿宋_GB2312" w:eastAsia="仿宋_GB2312" w:cs="仿宋_GB2312"/>
          <w:sz w:val="32"/>
          <w:szCs w:val="32"/>
          <w:lang w:val="zh-CN"/>
        </w:rPr>
      </w:pPr>
      <w:r>
        <w:rPr>
          <w:rFonts w:ascii="仿宋_GB2312" w:eastAsia="仿宋_GB2312" w:cs="仿宋_GB2312"/>
          <w:sz w:val="32"/>
          <w:szCs w:val="32"/>
          <w:lang w:val="zh-CN"/>
        </w:rPr>
        <w:t>（二十）负责全市药品、医疗器械和化妆品质量管理。监督和指导实施药品、医疗器械和化妆品经营、使用质量管理规范。</w:t>
      </w:r>
    </w:p>
    <w:p>
      <w:pPr>
        <w:widowControl/>
        <w:shd w:val="clear" w:color="auto" w:fill="FFFFFF"/>
        <w:spacing w:line="360" w:lineRule="auto"/>
        <w:ind w:firstLine="640" w:firstLineChars="200"/>
        <w:rPr>
          <w:rFonts w:ascii="仿宋_GB2312" w:eastAsia="仿宋_GB2312" w:cs="仿宋_GB2312"/>
          <w:sz w:val="32"/>
          <w:szCs w:val="32"/>
          <w:lang w:val="zh-CN"/>
        </w:rPr>
      </w:pPr>
      <w:r>
        <w:rPr>
          <w:rFonts w:ascii="仿宋_GB2312" w:eastAsia="仿宋_GB2312" w:cs="仿宋_GB2312"/>
          <w:sz w:val="32"/>
          <w:szCs w:val="32"/>
          <w:lang w:val="zh-CN"/>
        </w:rPr>
        <w:t>（二十一）负责组织指导全市药品、医疗器械和化妆品监督检查。负责药品零售、医疗器械经营的许可、检查和处罚，以及化妆品经营和药品、医疗器械使用环节质量的检查和处罚。组织药品、医疗器械和化妆品质量抽查检验，定期发布质量公告。监督实施问题产品召回和处置。</w:t>
      </w:r>
    </w:p>
    <w:p>
      <w:pPr>
        <w:widowControl/>
        <w:shd w:val="clear" w:color="auto" w:fill="FFFFFF"/>
        <w:spacing w:line="360" w:lineRule="auto"/>
        <w:ind w:firstLine="640" w:firstLineChars="200"/>
        <w:rPr>
          <w:rFonts w:ascii="仿宋_GB2312" w:eastAsia="仿宋_GB2312" w:cs="仿宋_GB2312"/>
          <w:sz w:val="32"/>
          <w:szCs w:val="32"/>
          <w:lang w:val="zh-CN"/>
        </w:rPr>
      </w:pPr>
      <w:r>
        <w:rPr>
          <w:rFonts w:ascii="仿宋_GB2312" w:eastAsia="仿宋_GB2312" w:cs="仿宋_GB2312"/>
          <w:sz w:val="32"/>
          <w:szCs w:val="32"/>
          <w:lang w:val="zh-CN"/>
        </w:rPr>
        <w:t>（二十二）组织开展药品不良反应、医疗器械不良事件和化妆品不良反应的监测、评价和处置工作。依法承担药品、医疗器械和化妆品安全风险监测和应急管理工作。</w:t>
      </w:r>
    </w:p>
    <w:p>
      <w:pPr>
        <w:widowControl/>
        <w:shd w:val="clear" w:color="auto" w:fill="FFFFFF"/>
        <w:spacing w:line="360" w:lineRule="auto"/>
        <w:ind w:firstLine="640" w:firstLineChars="200"/>
        <w:rPr>
          <w:rFonts w:ascii="仿宋_GB2312" w:eastAsia="仿宋_GB2312" w:cs="仿宋_GB2312"/>
          <w:sz w:val="32"/>
          <w:szCs w:val="32"/>
          <w:lang w:val="zh-CN"/>
        </w:rPr>
      </w:pPr>
      <w:r>
        <w:rPr>
          <w:rFonts w:ascii="仿宋_GB2312" w:eastAsia="仿宋_GB2312" w:cs="仿宋_GB2312"/>
          <w:sz w:val="32"/>
          <w:szCs w:val="32"/>
          <w:lang w:val="zh-CN"/>
        </w:rPr>
        <w:t>（二十三）负责拟订全市药品、医疗器械和化妆品安全科技发展规划并组织实施，推动检验检测能力建设和信息化建设。</w:t>
      </w:r>
    </w:p>
    <w:p>
      <w:pPr>
        <w:widowControl/>
        <w:shd w:val="clear" w:color="auto" w:fill="FFFFFF"/>
        <w:spacing w:line="360" w:lineRule="auto"/>
        <w:ind w:firstLine="640" w:firstLineChars="200"/>
        <w:rPr>
          <w:rFonts w:ascii="仿宋_GB2312" w:eastAsia="仿宋_GB2312" w:cs="仿宋_GB2312"/>
          <w:sz w:val="32"/>
          <w:szCs w:val="32"/>
          <w:lang w:val="zh-CN"/>
        </w:rPr>
      </w:pPr>
      <w:r>
        <w:rPr>
          <w:rFonts w:ascii="仿宋_GB2312" w:eastAsia="仿宋_GB2312" w:cs="仿宋_GB2312"/>
          <w:sz w:val="32"/>
          <w:szCs w:val="32"/>
          <w:lang w:val="zh-CN"/>
        </w:rPr>
        <w:t>（二十四）负责开展全市药品、医疗器械和化妆品安全宣传、教育培训、队伍建设、对外交流与合作。推进信用体系建设。</w:t>
      </w:r>
    </w:p>
    <w:p>
      <w:pPr>
        <w:widowControl/>
        <w:shd w:val="clear" w:color="auto" w:fill="FFFFFF"/>
        <w:spacing w:line="360" w:lineRule="auto"/>
        <w:ind w:firstLine="640" w:firstLineChars="200"/>
        <w:rPr>
          <w:rFonts w:ascii="仿宋_GB2312" w:eastAsia="仿宋_GB2312" w:cs="仿宋_GB2312"/>
          <w:sz w:val="32"/>
          <w:szCs w:val="32"/>
          <w:lang w:val="zh-CN"/>
        </w:rPr>
      </w:pPr>
      <w:r>
        <w:rPr>
          <w:rFonts w:ascii="仿宋_GB2312" w:eastAsia="仿宋_GB2312" w:cs="仿宋_GB2312"/>
          <w:sz w:val="32"/>
          <w:szCs w:val="32"/>
          <w:lang w:val="zh-CN"/>
        </w:rPr>
        <w:t>（二十五）承担三门峡市政府食品安全委员会的日常工作。</w:t>
      </w:r>
    </w:p>
    <w:p>
      <w:pPr>
        <w:pStyle w:val="8"/>
        <w:adjustRightInd/>
        <w:snapToGrid/>
        <w:spacing w:before="0" w:after="0"/>
        <w:rPr>
          <w:rFonts w:ascii="黑体" w:hAnsi="黑体" w:eastAsia="黑体" w:cs="黑体"/>
          <w:sz w:val="30"/>
          <w:szCs w:val="30"/>
        </w:rPr>
      </w:pPr>
      <w:bookmarkStart w:id="24" w:name="_Toc16295"/>
      <w:bookmarkStart w:id="25" w:name="_Toc30462"/>
      <w:bookmarkStart w:id="26" w:name="_Toc26635"/>
      <w:bookmarkStart w:id="27" w:name="_Toc21884"/>
      <w:bookmarkStart w:id="28" w:name="_Toc74919117"/>
      <w:bookmarkStart w:id="29" w:name="_Toc9353"/>
      <w:r>
        <w:rPr>
          <w:rFonts w:hint="eastAsia" w:ascii="黑体" w:hAnsi="黑体" w:eastAsia="黑体" w:cs="黑体"/>
          <w:sz w:val="30"/>
          <w:szCs w:val="30"/>
        </w:rPr>
        <w:t>（二）</w:t>
      </w:r>
      <w:r>
        <w:rPr>
          <w:rFonts w:ascii="黑体" w:hAnsi="黑体" w:eastAsia="黑体" w:cs="黑体"/>
          <w:sz w:val="30"/>
          <w:szCs w:val="30"/>
        </w:rPr>
        <w:t>年度部门总目标及主要任务</w:t>
      </w:r>
      <w:bookmarkEnd w:id="24"/>
      <w:bookmarkEnd w:id="25"/>
      <w:bookmarkEnd w:id="26"/>
      <w:bookmarkEnd w:id="27"/>
      <w:bookmarkEnd w:id="28"/>
      <w:bookmarkEnd w:id="29"/>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根据《中共三门峡市委办公室 三门峡市人民政府办公室关于印发〈三门峡市场监督管理局职能配置内设机构和人员编制规定〉的通知》（三办文〔2019〕55号）确定的工作职责，结合部门年初工作要点，我局制定了如下年度目标及任务：</w:t>
      </w:r>
    </w:p>
    <w:p>
      <w:pPr>
        <w:pStyle w:val="9"/>
        <w:keepNext w:val="0"/>
        <w:keepLines w:val="0"/>
        <w:adjustRightInd/>
        <w:snapToGrid/>
        <w:spacing w:before="0" w:after="0"/>
        <w:ind w:firstLine="562"/>
        <w:rPr>
          <w:rFonts w:ascii="黑体" w:hAnsi="黑体" w:eastAsia="黑体" w:cs="黑体"/>
          <w:sz w:val="28"/>
          <w:szCs w:val="28"/>
        </w:rPr>
      </w:pPr>
      <w:bookmarkStart w:id="30" w:name="_Toc27037"/>
      <w:bookmarkStart w:id="31" w:name="_Toc8897"/>
      <w:r>
        <w:rPr>
          <w:rFonts w:hint="eastAsia" w:ascii="黑体" w:hAnsi="黑体" w:eastAsia="黑体" w:cs="黑体"/>
          <w:sz w:val="28"/>
          <w:szCs w:val="28"/>
        </w:rPr>
        <w:t>1.年度总体目标</w:t>
      </w:r>
      <w:bookmarkEnd w:id="30"/>
      <w:bookmarkEnd w:id="31"/>
    </w:p>
    <w:p>
      <w:pPr>
        <w:widowControl/>
        <w:shd w:val="clear" w:color="auto" w:fill="FFFFFF"/>
        <w:spacing w:line="360" w:lineRule="auto"/>
        <w:ind w:firstLine="640" w:firstLineChars="200"/>
        <w:rPr>
          <w:rFonts w:hint="eastAsia" w:ascii="仿宋_GB2312" w:hAnsi="仿宋_GB2312" w:eastAsia="仿宋_GB2312" w:cs="仿宋_GB2312"/>
          <w:b w:val="0"/>
          <w:bCs w:val="0"/>
          <w:sz w:val="32"/>
          <w:szCs w:val="32"/>
          <w:lang w:val="en-US"/>
        </w:rPr>
      </w:pPr>
      <w:r>
        <w:rPr>
          <w:rFonts w:hint="eastAsia" w:ascii="仿宋_GB2312" w:eastAsia="仿宋_GB2312" w:cs="仿宋_GB2312"/>
          <w:sz w:val="32"/>
          <w:szCs w:val="32"/>
        </w:rPr>
        <w:t>202</w:t>
      </w:r>
      <w:r>
        <w:rPr>
          <w:rFonts w:hint="eastAsia" w:ascii="仿宋_GB2312" w:eastAsia="仿宋_GB2312" w:cs="仿宋_GB2312"/>
          <w:sz w:val="32"/>
          <w:szCs w:val="32"/>
          <w:lang w:val="en-US" w:eastAsia="zh-CN"/>
        </w:rPr>
        <w:t>1</w:t>
      </w:r>
      <w:r>
        <w:rPr>
          <w:rFonts w:hint="eastAsia" w:ascii="仿宋_GB2312" w:eastAsia="仿宋_GB2312" w:cs="仿宋_GB2312"/>
          <w:sz w:val="32"/>
          <w:szCs w:val="32"/>
        </w:rPr>
        <w:t>年主要开展以下几个方面工作：</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color w:val="auto"/>
          <w:w w:val="100"/>
          <w:sz w:val="32"/>
          <w:szCs w:val="32"/>
          <w:lang w:eastAsia="zh-CN"/>
        </w:rPr>
        <w:t>持续开展抽样检测，</w:t>
      </w:r>
      <w:r>
        <w:rPr>
          <w:rFonts w:hint="eastAsia" w:ascii="仿宋_GB2312" w:hAnsi="仿宋_GB2312" w:eastAsia="仿宋_GB2312" w:cs="仿宋_GB2312"/>
          <w:b w:val="0"/>
          <w:bCs w:val="0"/>
          <w:color w:val="auto"/>
          <w:w w:val="100"/>
          <w:sz w:val="32"/>
          <w:szCs w:val="32"/>
          <w:lang w:val="en-US" w:eastAsia="zh-CN"/>
        </w:rPr>
        <w:t>流通领域消费品质量监管</w:t>
      </w:r>
      <w:r>
        <w:rPr>
          <w:rFonts w:hint="eastAsia" w:ascii="仿宋_GB2312" w:hAnsi="仿宋_GB2312" w:eastAsia="仿宋_GB2312" w:cs="仿宋_GB2312"/>
          <w:b w:val="0"/>
          <w:bCs w:val="0"/>
          <w:color w:val="auto"/>
          <w:w w:val="100"/>
          <w:sz w:val="32"/>
          <w:szCs w:val="32"/>
          <w:lang w:eastAsia="zh-CN"/>
        </w:rPr>
        <w:t>不断</w:t>
      </w:r>
      <w:r>
        <w:rPr>
          <w:rFonts w:hint="eastAsia" w:ascii="仿宋_GB2312" w:hAnsi="仿宋_GB2312" w:eastAsia="仿宋_GB2312" w:cs="仿宋_GB2312"/>
          <w:b w:val="0"/>
          <w:bCs w:val="0"/>
          <w:color w:val="auto"/>
          <w:w w:val="100"/>
          <w:sz w:val="32"/>
          <w:szCs w:val="32"/>
          <w:lang w:val="en-US" w:eastAsia="zh-CN"/>
        </w:rPr>
        <w:t>加强</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color w:val="auto"/>
          <w:w w:val="100"/>
          <w:sz w:val="32"/>
          <w:szCs w:val="32"/>
          <w:lang w:val="en-US" w:eastAsia="zh-CN"/>
        </w:rPr>
        <w:t>持续深化商事制度改革，各类市场主体平稳增长</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color w:val="auto"/>
          <w:spacing w:val="0"/>
          <w:w w:val="100"/>
          <w:sz w:val="32"/>
          <w:szCs w:val="32"/>
          <w:lang w:val="en-US" w:eastAsia="zh-CN"/>
        </w:rPr>
        <w:t>强化特种设备监督检查，特种设备安全形势持续向好</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color w:val="auto"/>
          <w:spacing w:val="0"/>
          <w:w w:val="100"/>
          <w:sz w:val="32"/>
          <w:szCs w:val="32"/>
          <w:lang w:val="en-US" w:eastAsia="zh-CN"/>
        </w:rPr>
        <w:t>全面加强食品、药品监管，人民群众舌尖上的安全切实守护</w:t>
      </w: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color w:val="auto"/>
          <w:spacing w:val="0"/>
          <w:w w:val="100"/>
          <w:sz w:val="32"/>
          <w:szCs w:val="32"/>
          <w:lang w:val="en-US" w:eastAsia="zh-CN"/>
        </w:rPr>
        <w:t>畅通诉求渠，坚决维护消费者合法权益</w:t>
      </w:r>
      <w:r>
        <w:rPr>
          <w:rFonts w:hint="eastAsia" w:ascii="仿宋_GB2312" w:hAnsi="仿宋_GB2312" w:eastAsia="仿宋_GB2312" w:cs="仿宋_GB2312"/>
          <w:b w:val="0"/>
          <w:bCs w:val="0"/>
          <w:sz w:val="32"/>
          <w:szCs w:val="32"/>
          <w:lang w:val="en-US" w:eastAsia="zh-CN"/>
        </w:rPr>
        <w:t>6、</w:t>
      </w:r>
      <w:r>
        <w:rPr>
          <w:rFonts w:hint="eastAsia" w:ascii="仿宋_GB2312" w:hAnsi="仿宋_GB2312" w:eastAsia="仿宋_GB2312" w:cs="仿宋_GB2312"/>
          <w:b w:val="0"/>
          <w:bCs w:val="0"/>
          <w:color w:val="auto"/>
          <w:w w:val="100"/>
          <w:sz w:val="32"/>
          <w:szCs w:val="32"/>
          <w:lang w:eastAsia="zh-CN"/>
        </w:rPr>
        <w:t>深入</w:t>
      </w:r>
      <w:r>
        <w:rPr>
          <w:rFonts w:hint="eastAsia" w:ascii="仿宋_GB2312" w:hAnsi="仿宋_GB2312" w:eastAsia="仿宋_GB2312" w:cs="仿宋_GB2312"/>
          <w:b w:val="0"/>
          <w:bCs w:val="0"/>
          <w:color w:val="auto"/>
          <w:w w:val="100"/>
          <w:sz w:val="32"/>
          <w:szCs w:val="32"/>
        </w:rPr>
        <w:t>开展</w:t>
      </w:r>
      <w:r>
        <w:rPr>
          <w:rFonts w:hint="eastAsia" w:ascii="仿宋_GB2312" w:hAnsi="仿宋_GB2312" w:eastAsia="仿宋_GB2312" w:cs="仿宋_GB2312"/>
          <w:b w:val="0"/>
          <w:bCs w:val="0"/>
          <w:color w:val="auto"/>
          <w:w w:val="100"/>
          <w:sz w:val="32"/>
          <w:szCs w:val="32"/>
          <w:lang w:eastAsia="zh-CN"/>
        </w:rPr>
        <w:t>违法广告</w:t>
      </w:r>
      <w:r>
        <w:rPr>
          <w:rFonts w:hint="eastAsia" w:ascii="仿宋_GB2312" w:hAnsi="仿宋_GB2312" w:eastAsia="仿宋_GB2312" w:cs="仿宋_GB2312"/>
          <w:b w:val="0"/>
          <w:bCs w:val="0"/>
          <w:color w:val="auto"/>
          <w:w w:val="100"/>
          <w:sz w:val="32"/>
          <w:szCs w:val="32"/>
        </w:rPr>
        <w:t>专项整治，</w:t>
      </w:r>
      <w:r>
        <w:rPr>
          <w:rFonts w:hint="eastAsia" w:ascii="仿宋_GB2312" w:hAnsi="仿宋_GB2312" w:eastAsia="仿宋_GB2312" w:cs="仿宋_GB2312"/>
          <w:b w:val="0"/>
          <w:bCs w:val="0"/>
          <w:color w:val="auto"/>
          <w:w w:val="100"/>
          <w:sz w:val="32"/>
          <w:szCs w:val="32"/>
          <w:lang w:eastAsia="zh-CN"/>
        </w:rPr>
        <w:t>维护广告市场秩序</w:t>
      </w:r>
      <w:r>
        <w:rPr>
          <w:rFonts w:hint="eastAsia" w:ascii="仿宋_GB2312" w:hAnsi="仿宋_GB2312" w:eastAsia="仿宋_GB2312" w:cs="仿宋_GB2312"/>
          <w:b w:val="0"/>
          <w:bCs w:val="0"/>
          <w:sz w:val="32"/>
          <w:szCs w:val="32"/>
          <w:lang w:val="en-US" w:eastAsia="zh-CN"/>
        </w:rPr>
        <w:t>7、</w:t>
      </w:r>
      <w:r>
        <w:rPr>
          <w:rFonts w:hint="eastAsia" w:ascii="仿宋_GB2312" w:hAnsi="仿宋_GB2312" w:eastAsia="仿宋_GB2312" w:cs="仿宋_GB2312"/>
          <w:b w:val="0"/>
          <w:bCs w:val="0"/>
          <w:color w:val="auto"/>
          <w:w w:val="100"/>
          <w:sz w:val="32"/>
          <w:szCs w:val="32"/>
          <w:lang w:val="en-US" w:eastAsia="zh-CN"/>
        </w:rPr>
        <w:t>深入文明城市创建，积极推进文明经营活动理8、顺办案机制，执法办案工作取得新突破9、</w:t>
      </w:r>
      <w:r>
        <w:rPr>
          <w:rFonts w:hint="eastAsia" w:ascii="仿宋_GB2312" w:hAnsi="仿宋_GB2312" w:eastAsia="仿宋_GB2312" w:cs="仿宋_GB2312"/>
          <w:b w:val="0"/>
          <w:bCs w:val="0"/>
          <w:color w:val="auto"/>
          <w:w w:val="100"/>
          <w:kern w:val="2"/>
          <w:sz w:val="32"/>
          <w:szCs w:val="32"/>
          <w:lang w:val="en-US" w:eastAsia="zh-CN" w:bidi="ar-SA"/>
        </w:rPr>
        <w:t>优化企业服务，打造良好的营商环境。</w:t>
      </w:r>
    </w:p>
    <w:p>
      <w:pPr>
        <w:pStyle w:val="9"/>
        <w:keepNext w:val="0"/>
        <w:keepLines w:val="0"/>
        <w:adjustRightInd/>
        <w:snapToGrid/>
        <w:spacing w:before="0" w:after="0"/>
        <w:ind w:firstLine="562"/>
        <w:rPr>
          <w:rFonts w:ascii="黑体" w:hAnsi="黑体" w:eastAsia="黑体" w:cs="黑体"/>
          <w:sz w:val="28"/>
          <w:szCs w:val="28"/>
        </w:rPr>
      </w:pPr>
      <w:bookmarkStart w:id="32" w:name="_Toc16684"/>
      <w:bookmarkStart w:id="33" w:name="_Toc17645"/>
      <w:r>
        <w:rPr>
          <w:rFonts w:hint="eastAsia" w:ascii="黑体" w:hAnsi="黑体" w:eastAsia="黑体" w:cs="黑体"/>
          <w:sz w:val="28"/>
          <w:szCs w:val="28"/>
        </w:rPr>
        <w:t>2.年度主要工作内容</w:t>
      </w:r>
      <w:bookmarkEnd w:id="32"/>
      <w:bookmarkEnd w:id="33"/>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任务1：标准化管理；组织实施相关标准化法律法规。依法承担地方标准组织制定工作。依法协调指导和监督地方标准、团体标准、企业标准制定工作。管理全市商品条码工作。</w:t>
      </w:r>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任务2：产品质量安全监督管理；组织实施产品质量安全风险监控和监督抽查工作。组织实施质量分级制度、质量安全追溯制度。负责全市工业产品生产许可管理工作。负责全市纤维质量监督工作。</w:t>
      </w:r>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任务3：反垄断法；统筹推进竞争政策实施，指导实施公平竞争审查制度。根据授权，承担相关反垄断执法工作。</w:t>
      </w:r>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任务4：宏观质量管理；拟订并实施质量发展的制度措施。统筹全市质量基础设施建设与应用。会同有关部门组织实施重大工程设备质量监理制度，组织重大产品质量事故调查，统一实施缺陷产品召回制度，监督管理产品防伪工作。</w:t>
      </w:r>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任务5：计量管理；推行法定计量单位和国家计量制度，管理计量器具及量值传递和比对工作。规范、监督商品量和市场计量行为。</w:t>
      </w:r>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任务6：监督管理市场秩序；依法监督管理市场交易、网络商品交易及有关服务的行为。组织指导查处不正当竞争、违法直销、传销、侵犯商标专利知识产权和制售假冒伪劣行为。组织指导全市价格监督检查工作。指导全市广告业发展，监督管理广告活动。指导查处无照生产经营和相关无证生产经营行为。拟订全市消费者权益保护的具体措施，指导三门峡市消费者权益维护中心开展消费维权工作。</w:t>
      </w:r>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任务7：检验检测管理；拟订全市检验检测工作制度并组织实施，推进检验检测机构改革，规范检验检测市场，完善检验检测体系，指导协调检验检测行业发展。</w:t>
      </w:r>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任务8：认证认可监管；负责统一管理和综合协调全市认证认可工作，组织实施国家统一的认证认可和合格评定监督管理制度。</w:t>
      </w:r>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任务9：食品安全监督管理；建立覆盖全市食品生产、流通、消费全过程的监督检查制度和隐患排查治理机制并组织实施，防范区域性、系统性食品安全风险。推动建立食品生产经营者落实主体责任的机制，指导企业建立健全食品安全追溯体系。组织开展全市食品及相关产品安全监督抽检、风险监测、核查处置和风险预警、风险交流工作。</w:t>
      </w:r>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任务10：食品安全监督管理综合协调；组织拟订全市食品安全政策措施并组织实施。负责食品安全应急体系建设，组织指导重大食品安全事件应急处置和调查处理工作。建立健全食品安全重要信息直报制度。</w:t>
      </w:r>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任务11：市场监管综合执法；指导全市场监管综合执法队伍建设。组织查处重大复杂案件和跨区域执法的组织协调工作。规范全市场监管行政执法行为。</w:t>
      </w:r>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任务12：市场主体统一登记注册；组织指导全市各类企业、农民专业合作社和从事经营活动的单位、个体工商户以及外国（地区）企业常驻代表机构等市场主体的登记注册工作。建立市场主体信息公示和共享机制，依法公示和共享有关信息，加强信用监管，推动市场主体信用体系建设。</w:t>
      </w:r>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任务13：市场综合监督管理；实施市场监督管理有关法律和政策，起草市场监督管理有关规章、标准、组织实施全市质量强市战略、食品安全战略、标准化战略、知识产权战略。拟订并组织实施有关规划，规范和维护市场秩序，营造诚实守信、公平竞争的市场环境。</w:t>
      </w:r>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任务14：特种设备安全监督管理；综合管理特种设备安全监察、监督工作，监督检查高耗能特种设备节能标准和锅炉环境保护标准的执行情况。组织指导特种设备安全事故调查工作。</w:t>
      </w:r>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任务15：知识产权监督管理和保护运用；拟订实施知识产权创造、保护、运用和交易运营的政策、规划。建设完善知识产权保护体系、公共服务体系、指导商标专利执法，保护知识产权，促进知识产权创造和运用。</w:t>
      </w:r>
    </w:p>
    <w:p>
      <w:pPr>
        <w:pStyle w:val="9"/>
        <w:adjustRightInd/>
        <w:snapToGrid/>
        <w:spacing w:before="0" w:after="0"/>
        <w:ind w:firstLine="562"/>
        <w:rPr>
          <w:rFonts w:ascii="黑体" w:hAnsi="黑体" w:eastAsia="黑体" w:cs="黑体"/>
          <w:sz w:val="28"/>
          <w:szCs w:val="28"/>
        </w:rPr>
      </w:pPr>
      <w:bookmarkStart w:id="34" w:name="_Toc24532"/>
      <w:bookmarkStart w:id="35" w:name="_Toc5864"/>
      <w:r>
        <w:rPr>
          <w:rFonts w:hint="eastAsia" w:ascii="黑体" w:hAnsi="黑体" w:eastAsia="黑体" w:cs="黑体"/>
          <w:sz w:val="28"/>
          <w:szCs w:val="28"/>
        </w:rPr>
        <w:t>3.</w:t>
      </w:r>
      <w:r>
        <w:rPr>
          <w:rFonts w:ascii="黑体" w:hAnsi="黑体" w:eastAsia="黑体" w:cs="黑体"/>
          <w:sz w:val="28"/>
          <w:szCs w:val="28"/>
        </w:rPr>
        <w:t>年度</w:t>
      </w:r>
      <w:r>
        <w:rPr>
          <w:rFonts w:hint="eastAsia" w:ascii="黑体" w:hAnsi="黑体" w:eastAsia="黑体" w:cs="黑体"/>
          <w:sz w:val="28"/>
          <w:szCs w:val="28"/>
        </w:rPr>
        <w:t>部门整体</w:t>
      </w:r>
      <w:r>
        <w:rPr>
          <w:rFonts w:ascii="黑体" w:hAnsi="黑体" w:eastAsia="黑体" w:cs="黑体"/>
          <w:sz w:val="28"/>
          <w:szCs w:val="28"/>
        </w:rPr>
        <w:t>预算绩效目标、绩效指标设定情况</w:t>
      </w:r>
      <w:bookmarkEnd w:id="34"/>
      <w:bookmarkEnd w:id="35"/>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我局根据202</w:t>
      </w:r>
      <w:r>
        <w:rPr>
          <w:rFonts w:hint="eastAsia" w:ascii="仿宋_GB2312" w:eastAsia="仿宋_GB2312" w:cs="仿宋_GB2312"/>
          <w:sz w:val="32"/>
          <w:szCs w:val="32"/>
          <w:lang w:val="en-US" w:eastAsia="zh-CN"/>
        </w:rPr>
        <w:t>1</w:t>
      </w:r>
      <w:r>
        <w:rPr>
          <w:rFonts w:hint="eastAsia" w:ascii="仿宋_GB2312" w:eastAsia="仿宋_GB2312" w:cs="仿宋_GB2312"/>
          <w:sz w:val="32"/>
          <w:szCs w:val="32"/>
        </w:rPr>
        <w:t>年度工作计划，按照《中共三门峡市委办公室 三门峡市人民政府办公室关于印发〈三门峡市场监督管理局职能配置内设机构和人员编制规定〉的通知》（三办文〔2019〕55号）文件要求，制定2</w:t>
      </w:r>
      <w:r>
        <w:rPr>
          <w:rFonts w:ascii="仿宋_GB2312" w:eastAsia="仿宋_GB2312" w:cs="仿宋_GB2312"/>
          <w:sz w:val="32"/>
          <w:szCs w:val="32"/>
        </w:rPr>
        <w:t>02</w:t>
      </w:r>
      <w:r>
        <w:rPr>
          <w:rFonts w:hint="eastAsia" w:ascii="仿宋_GB2312" w:eastAsia="仿宋_GB2312" w:cs="仿宋_GB2312"/>
          <w:sz w:val="32"/>
          <w:szCs w:val="32"/>
          <w:lang w:val="en-US" w:eastAsia="zh-CN"/>
        </w:rPr>
        <w:t>1</w:t>
      </w:r>
      <w:r>
        <w:rPr>
          <w:rFonts w:hint="eastAsia" w:ascii="仿宋_GB2312" w:eastAsia="仿宋_GB2312" w:cs="仿宋_GB2312"/>
          <w:sz w:val="32"/>
          <w:szCs w:val="32"/>
        </w:rPr>
        <w:t>年度部门整体预算绩效目标表，具体内容详见附件1；</w:t>
      </w:r>
    </w:p>
    <w:p>
      <w:pPr>
        <w:widowControl/>
        <w:shd w:val="clear" w:color="auto" w:fill="FFFFFF"/>
        <w:spacing w:line="360" w:lineRule="auto"/>
        <w:ind w:firstLine="640" w:firstLineChars="200"/>
        <w:rPr>
          <w:rFonts w:ascii="仿宋_GB2312" w:eastAsia="仿宋_GB2312" w:cs="仿宋_GB2312"/>
          <w:sz w:val="28"/>
          <w:szCs w:val="28"/>
        </w:rPr>
      </w:pPr>
      <w:r>
        <w:rPr>
          <w:rFonts w:hint="eastAsia" w:ascii="仿宋_GB2312" w:eastAsia="仿宋_GB2312" w:cs="仿宋_GB2312"/>
          <w:sz w:val="32"/>
          <w:szCs w:val="32"/>
        </w:rPr>
        <w:t>本次自评指标体系包括</w:t>
      </w:r>
      <w:r>
        <w:rPr>
          <w:rFonts w:ascii="仿宋_GB2312" w:eastAsia="仿宋_GB2312" w:cs="仿宋_GB2312"/>
          <w:sz w:val="32"/>
          <w:szCs w:val="32"/>
        </w:rPr>
        <w:t>3个</w:t>
      </w:r>
      <w:r>
        <w:rPr>
          <w:rFonts w:hint="eastAsia" w:ascii="仿宋_GB2312" w:eastAsia="仿宋_GB2312" w:cs="仿宋_GB2312"/>
          <w:sz w:val="32"/>
          <w:szCs w:val="32"/>
        </w:rPr>
        <w:t>一级指标、</w:t>
      </w:r>
      <w:r>
        <w:rPr>
          <w:rFonts w:ascii="仿宋_GB2312" w:eastAsia="仿宋_GB2312" w:cs="仿宋_GB2312"/>
          <w:sz w:val="32"/>
          <w:szCs w:val="32"/>
        </w:rPr>
        <w:t>6个</w:t>
      </w:r>
      <w:r>
        <w:rPr>
          <w:rFonts w:hint="eastAsia" w:ascii="仿宋_GB2312" w:eastAsia="仿宋_GB2312" w:cs="仿宋_GB2312"/>
          <w:sz w:val="32"/>
          <w:szCs w:val="32"/>
        </w:rPr>
        <w:t>二级指标、</w:t>
      </w:r>
      <w:r>
        <w:rPr>
          <w:rFonts w:ascii="仿宋_GB2312" w:eastAsia="仿宋_GB2312" w:cs="仿宋_GB2312"/>
          <w:sz w:val="32"/>
          <w:szCs w:val="32"/>
        </w:rPr>
        <w:t>34个</w:t>
      </w:r>
      <w:r>
        <w:rPr>
          <w:rFonts w:hint="eastAsia" w:ascii="仿宋_GB2312" w:eastAsia="仿宋_GB2312" w:cs="仿宋_GB2312"/>
          <w:sz w:val="32"/>
          <w:szCs w:val="32"/>
        </w:rPr>
        <w:t>三级指标。其中一级指标包括投入管理指标、产出指标、效益指标</w:t>
      </w:r>
      <w:r>
        <w:rPr>
          <w:rFonts w:ascii="仿宋_GB2312" w:eastAsia="仿宋_GB2312" w:cs="仿宋_GB2312"/>
          <w:sz w:val="32"/>
          <w:szCs w:val="32"/>
        </w:rPr>
        <w:t>3个</w:t>
      </w:r>
      <w:r>
        <w:rPr>
          <w:rFonts w:hint="eastAsia" w:ascii="仿宋_GB2312" w:eastAsia="仿宋_GB2312" w:cs="仿宋_GB2312"/>
          <w:sz w:val="32"/>
          <w:szCs w:val="32"/>
        </w:rPr>
        <w:t>方面对一级指标进行细化评价；二级指标从整体工作目标管理情况、预算和财务管理、</w:t>
      </w:r>
      <w:r>
        <w:rPr>
          <w:rFonts w:ascii="仿宋_GB2312" w:eastAsia="仿宋_GB2312" w:cs="仿宋_GB2312"/>
          <w:sz w:val="32"/>
          <w:szCs w:val="32"/>
        </w:rPr>
        <w:t>重点工作任务完成、履职目标实现、履职效益、满意度6个</w:t>
      </w:r>
      <w:r>
        <w:rPr>
          <w:rFonts w:hint="eastAsia" w:ascii="仿宋_GB2312" w:eastAsia="仿宋_GB2312" w:cs="仿宋_GB2312"/>
          <w:sz w:val="32"/>
          <w:szCs w:val="32"/>
        </w:rPr>
        <w:t>方面对一级指标进行细化评</w:t>
      </w:r>
      <w:r>
        <w:rPr>
          <w:rFonts w:ascii="仿宋_GB2312" w:eastAsia="仿宋_GB2312" w:cs="仿宋_GB2312"/>
          <w:sz w:val="32"/>
          <w:szCs w:val="32"/>
        </w:rPr>
        <w:t>价，三级指标是对二级指标的细化、量化</w:t>
      </w:r>
      <w:r>
        <w:rPr>
          <w:rFonts w:hint="eastAsia" w:ascii="仿宋_GB2312" w:eastAsia="仿宋_GB2312" w:cs="仿宋_GB2312"/>
          <w:sz w:val="32"/>
          <w:szCs w:val="32"/>
        </w:rPr>
        <w:t>。</w:t>
      </w:r>
    </w:p>
    <w:p>
      <w:pPr>
        <w:pStyle w:val="7"/>
        <w:keepNext w:val="0"/>
        <w:keepLines w:val="0"/>
        <w:numPr>
          <w:ilvl w:val="0"/>
          <w:numId w:val="1"/>
        </w:numPr>
        <w:spacing w:before="156" w:beforeLines="50" w:after="156" w:afterLines="50" w:line="360" w:lineRule="auto"/>
        <w:rPr>
          <w:rFonts w:ascii="黑体" w:hAnsi="黑体" w:eastAsia="黑体" w:cs="黑体"/>
          <w:sz w:val="32"/>
          <w:szCs w:val="32"/>
        </w:rPr>
      </w:pPr>
      <w:bookmarkStart w:id="36" w:name="_Toc8757"/>
      <w:bookmarkStart w:id="37" w:name="_Toc984"/>
      <w:bookmarkStart w:id="38" w:name="_Toc8012"/>
      <w:bookmarkStart w:id="39" w:name="_Toc20014"/>
      <w:bookmarkStart w:id="40" w:name="_Toc29835"/>
      <w:bookmarkStart w:id="41" w:name="_Toc74919118"/>
      <w:r>
        <w:rPr>
          <w:rFonts w:ascii="黑体" w:hAnsi="黑体" w:eastAsia="黑体" w:cs="黑体"/>
          <w:sz w:val="32"/>
          <w:szCs w:val="32"/>
        </w:rPr>
        <w:t>绩效自评工作开展情况</w:t>
      </w:r>
      <w:bookmarkEnd w:id="36"/>
      <w:bookmarkEnd w:id="37"/>
      <w:bookmarkEnd w:id="38"/>
      <w:bookmarkEnd w:id="39"/>
      <w:bookmarkEnd w:id="40"/>
      <w:bookmarkEnd w:id="41"/>
    </w:p>
    <w:p>
      <w:pPr>
        <w:pStyle w:val="8"/>
        <w:keepNext w:val="0"/>
        <w:keepLines w:val="0"/>
        <w:adjustRightInd/>
        <w:snapToGrid/>
        <w:spacing w:before="0" w:after="0"/>
        <w:rPr>
          <w:rFonts w:ascii="黑体" w:hAnsi="黑体" w:eastAsia="黑体" w:cs="黑体"/>
          <w:sz w:val="30"/>
          <w:szCs w:val="30"/>
        </w:rPr>
      </w:pPr>
      <w:bookmarkStart w:id="42" w:name="_Toc15655"/>
      <w:bookmarkStart w:id="43" w:name="_Toc25653"/>
      <w:bookmarkStart w:id="44" w:name="_Toc21052"/>
      <w:bookmarkStart w:id="45" w:name="_Toc11337"/>
      <w:bookmarkStart w:id="46" w:name="_Toc23706"/>
      <w:bookmarkStart w:id="47" w:name="_Toc19288"/>
      <w:bookmarkStart w:id="48" w:name="_Toc30956"/>
      <w:bookmarkStart w:id="49" w:name="_Toc74919119"/>
      <w:bookmarkStart w:id="50" w:name="_Toc62147633"/>
      <w:bookmarkStart w:id="51" w:name="_Toc25407"/>
      <w:bookmarkStart w:id="52" w:name="_Toc7954"/>
      <w:bookmarkStart w:id="53" w:name="_Toc20598"/>
      <w:r>
        <w:rPr>
          <w:rFonts w:hint="eastAsia" w:ascii="黑体" w:hAnsi="黑体" w:eastAsia="黑体" w:cs="黑体"/>
          <w:sz w:val="30"/>
          <w:szCs w:val="30"/>
        </w:rPr>
        <w:t>（一）绩效自评目的和意义</w:t>
      </w:r>
      <w:bookmarkEnd w:id="42"/>
      <w:bookmarkEnd w:id="43"/>
      <w:bookmarkEnd w:id="44"/>
      <w:bookmarkEnd w:id="45"/>
      <w:bookmarkEnd w:id="46"/>
      <w:bookmarkEnd w:id="47"/>
      <w:bookmarkEnd w:id="48"/>
      <w:bookmarkEnd w:id="49"/>
      <w:bookmarkEnd w:id="50"/>
      <w:bookmarkEnd w:id="51"/>
      <w:bookmarkEnd w:id="52"/>
      <w:bookmarkEnd w:id="53"/>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预算支出绩效自评是预算单位运用科学、规范的评价方法，对照统一的评价标准，对预算支出的效率和效益进行的自我衡量和综合评价。</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预算支出绩效自评的目的是：通过对绩效目标的综合考评，合理配置资源，优化支出结构，规范预算资金分配，提高财政资源配置效率和使用效益。</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推进预算支出绩效自评的意义是：加强部门及项目预算管理，有利于建设高效透明政府，有利于深化政府管理体制改革。从政府部门管理层面来看，可促进预算单位预算管理的科学性和合理性；从财政部门资金监管层面来看，可深入了解资金投向的明确性和准确性，提高资金使用效率；从部门实施单位来看，可以进一步规范资金使用，提升部门实施效果。</w:t>
      </w:r>
    </w:p>
    <w:p>
      <w:pPr>
        <w:pStyle w:val="8"/>
        <w:keepNext w:val="0"/>
        <w:keepLines w:val="0"/>
        <w:adjustRightInd/>
        <w:snapToGrid/>
        <w:spacing w:before="0" w:after="0"/>
        <w:rPr>
          <w:rFonts w:ascii="黑体" w:hAnsi="黑体" w:eastAsia="黑体" w:cs="黑体"/>
          <w:sz w:val="30"/>
          <w:szCs w:val="30"/>
        </w:rPr>
      </w:pPr>
      <w:bookmarkStart w:id="54" w:name="_Toc12049"/>
      <w:bookmarkStart w:id="55" w:name="_Toc13288"/>
      <w:bookmarkStart w:id="56" w:name="_Toc1518"/>
      <w:bookmarkStart w:id="57" w:name="_Toc4746"/>
      <w:bookmarkStart w:id="58" w:name="_Toc10866"/>
      <w:bookmarkStart w:id="59" w:name="_Toc3244"/>
      <w:bookmarkStart w:id="60" w:name="_Toc74919120"/>
      <w:bookmarkStart w:id="61" w:name="_Toc9531"/>
      <w:bookmarkStart w:id="62" w:name="_Toc62147634"/>
      <w:bookmarkStart w:id="63" w:name="_Toc28499"/>
      <w:bookmarkStart w:id="64" w:name="_Toc15246"/>
      <w:bookmarkStart w:id="65" w:name="_Toc19879"/>
      <w:r>
        <w:rPr>
          <w:rFonts w:hint="eastAsia" w:ascii="黑体" w:hAnsi="黑体" w:eastAsia="黑体" w:cs="黑体"/>
          <w:sz w:val="30"/>
          <w:szCs w:val="30"/>
        </w:rPr>
        <w:t>（二）绩效自评对象和范围</w:t>
      </w:r>
      <w:bookmarkEnd w:id="54"/>
      <w:bookmarkEnd w:id="55"/>
      <w:bookmarkEnd w:id="56"/>
      <w:bookmarkEnd w:id="57"/>
      <w:bookmarkEnd w:id="58"/>
      <w:bookmarkEnd w:id="59"/>
      <w:bookmarkEnd w:id="60"/>
      <w:bookmarkEnd w:id="61"/>
      <w:bookmarkEnd w:id="62"/>
      <w:bookmarkEnd w:id="63"/>
      <w:bookmarkEnd w:id="64"/>
      <w:bookmarkEnd w:id="65"/>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本次绩效自评对象为三门峡市场监督管理局，评价范围为涉及我局的管理及其预算资金使用绩效的相关情况。</w:t>
      </w:r>
    </w:p>
    <w:p>
      <w:pPr>
        <w:pStyle w:val="8"/>
        <w:keepNext w:val="0"/>
        <w:keepLines w:val="0"/>
        <w:adjustRightInd/>
        <w:snapToGrid/>
        <w:spacing w:before="0" w:after="0"/>
        <w:rPr>
          <w:rFonts w:ascii="黑体" w:hAnsi="黑体" w:eastAsia="黑体" w:cs="黑体"/>
          <w:sz w:val="30"/>
          <w:szCs w:val="30"/>
        </w:rPr>
      </w:pPr>
      <w:bookmarkStart w:id="66" w:name="_Toc19254"/>
      <w:bookmarkStart w:id="67" w:name="_Toc7229"/>
      <w:bookmarkStart w:id="68" w:name="_Toc17710"/>
      <w:bookmarkStart w:id="69" w:name="_Toc5361"/>
      <w:bookmarkStart w:id="70" w:name="_Toc74919121"/>
      <w:bookmarkStart w:id="71" w:name="_Toc23494"/>
      <w:bookmarkStart w:id="72" w:name="_Toc5967"/>
      <w:bookmarkStart w:id="73" w:name="_Toc17318"/>
      <w:r>
        <w:rPr>
          <w:rFonts w:hint="eastAsia" w:ascii="黑体" w:hAnsi="黑体" w:eastAsia="黑体" w:cs="黑体"/>
          <w:sz w:val="30"/>
          <w:szCs w:val="30"/>
        </w:rPr>
        <w:t>（三）绩效评价的依据</w:t>
      </w:r>
      <w:bookmarkEnd w:id="66"/>
      <w:bookmarkEnd w:id="67"/>
      <w:bookmarkEnd w:id="68"/>
      <w:bookmarkEnd w:id="69"/>
      <w:bookmarkEnd w:id="70"/>
      <w:bookmarkEnd w:id="71"/>
      <w:bookmarkEnd w:id="72"/>
      <w:bookmarkEnd w:id="73"/>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1、中共中央、国务院《关于全面实施预算绩效管理的意见》（中发〔2018〕34号）；</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2、《中共河南省委 河南省人民政府关于全面实施预算绩效管理的实施意见》（豫发〔2019〕10号）；</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3、</w:t>
      </w:r>
      <w:r>
        <w:rPr>
          <w:rFonts w:ascii="仿宋_GB2312" w:eastAsia="仿宋_GB2312" w:cs="仿宋_GB2312"/>
          <w:sz w:val="32"/>
          <w:szCs w:val="32"/>
          <w:lang w:val="zh-CN"/>
        </w:rPr>
        <w:t>《中共三门峡市委三门峡市人民政府关于全面实施预算绩效管理的实施意见》（三发〔2020</w:t>
      </w:r>
      <w:r>
        <w:rPr>
          <w:rFonts w:hint="eastAsia" w:ascii="仿宋_GB2312" w:eastAsia="仿宋_GB2312" w:cs="仿宋_GB2312"/>
          <w:sz w:val="32"/>
          <w:szCs w:val="32"/>
        </w:rPr>
        <w:t>〕</w:t>
      </w:r>
      <w:r>
        <w:rPr>
          <w:rFonts w:ascii="仿宋_GB2312" w:eastAsia="仿宋_GB2312" w:cs="仿宋_GB2312"/>
          <w:sz w:val="32"/>
          <w:szCs w:val="32"/>
          <w:lang w:val="zh-CN"/>
        </w:rPr>
        <w:t>14号）</w:t>
      </w:r>
      <w:r>
        <w:rPr>
          <w:rFonts w:hint="eastAsia" w:ascii="仿宋_GB2312" w:eastAsia="仿宋_GB2312" w:cs="仿宋_GB2312"/>
          <w:sz w:val="32"/>
          <w:szCs w:val="32"/>
        </w:rPr>
        <w:t>；</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lang w:val="en-US" w:eastAsia="zh-CN"/>
        </w:rPr>
        <w:t>4</w:t>
      </w:r>
      <w:r>
        <w:rPr>
          <w:rFonts w:hint="eastAsia" w:ascii="仿宋_GB2312" w:eastAsia="仿宋_GB2312" w:cs="仿宋_GB2312"/>
          <w:sz w:val="32"/>
          <w:szCs w:val="32"/>
        </w:rPr>
        <w:t>、《</w:t>
      </w:r>
      <w:r>
        <w:rPr>
          <w:rFonts w:ascii="仿宋_GB2312" w:eastAsia="仿宋_GB2312" w:cs="仿宋_GB2312"/>
          <w:sz w:val="32"/>
          <w:szCs w:val="32"/>
          <w:lang w:val="zh-CN"/>
        </w:rPr>
        <w:t>三门峡市财政局关于开展202</w:t>
      </w:r>
      <w:r>
        <w:rPr>
          <w:rFonts w:hint="eastAsia" w:ascii="仿宋_GB2312" w:eastAsia="仿宋_GB2312" w:cs="仿宋_GB2312"/>
          <w:sz w:val="32"/>
          <w:szCs w:val="32"/>
          <w:lang w:val="en-US" w:eastAsia="zh-CN"/>
        </w:rPr>
        <w:t>1</w:t>
      </w:r>
      <w:r>
        <w:rPr>
          <w:rFonts w:ascii="仿宋_GB2312" w:eastAsia="仿宋_GB2312" w:cs="仿宋_GB2312"/>
          <w:sz w:val="32"/>
          <w:szCs w:val="32"/>
          <w:lang w:val="zh-CN"/>
        </w:rPr>
        <w:t>年度市级预算绩效自评工作的通知</w:t>
      </w:r>
      <w:r>
        <w:rPr>
          <w:rFonts w:hint="eastAsia" w:ascii="仿宋_GB2312" w:eastAsia="仿宋_GB2312" w:cs="仿宋_GB2312"/>
          <w:sz w:val="32"/>
          <w:szCs w:val="32"/>
        </w:rPr>
        <w:t>》（</w:t>
      </w:r>
      <w:r>
        <w:rPr>
          <w:rFonts w:ascii="仿宋_GB2312" w:eastAsia="仿宋_GB2312" w:cs="仿宋_GB2312"/>
          <w:sz w:val="32"/>
          <w:szCs w:val="32"/>
          <w:lang w:val="zh-CN"/>
        </w:rPr>
        <w:t>三财效〔202</w:t>
      </w:r>
      <w:r>
        <w:rPr>
          <w:rFonts w:hint="eastAsia" w:ascii="仿宋_GB2312" w:eastAsia="仿宋_GB2312" w:cs="仿宋_GB2312"/>
          <w:sz w:val="32"/>
          <w:szCs w:val="32"/>
          <w:lang w:val="en-US" w:eastAsia="zh-CN"/>
        </w:rPr>
        <w:t>2</w:t>
      </w:r>
      <w:r>
        <w:rPr>
          <w:rFonts w:ascii="仿宋_GB2312" w:eastAsia="仿宋_GB2312" w:cs="仿宋_GB2312"/>
          <w:sz w:val="32"/>
          <w:szCs w:val="32"/>
          <w:lang w:val="zh-CN"/>
        </w:rPr>
        <w:t>〕3号</w:t>
      </w:r>
      <w:r>
        <w:rPr>
          <w:rFonts w:hint="eastAsia" w:ascii="仿宋_GB2312" w:eastAsia="仿宋_GB2312" w:cs="仿宋_GB2312"/>
          <w:sz w:val="32"/>
          <w:szCs w:val="32"/>
        </w:rPr>
        <w:t>）；</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lang w:val="en-US" w:eastAsia="zh-CN"/>
        </w:rPr>
        <w:t>5</w:t>
      </w:r>
      <w:r>
        <w:rPr>
          <w:rFonts w:hint="eastAsia" w:ascii="仿宋_GB2312" w:eastAsia="仿宋_GB2312" w:cs="仿宋_GB2312"/>
          <w:sz w:val="32"/>
          <w:szCs w:val="32"/>
        </w:rPr>
        <w:t>、与本次自评相关的其他资料。</w:t>
      </w:r>
    </w:p>
    <w:p>
      <w:pPr>
        <w:pStyle w:val="8"/>
        <w:adjustRightInd/>
        <w:snapToGrid/>
        <w:spacing w:before="0" w:after="0"/>
        <w:rPr>
          <w:rFonts w:ascii="黑体" w:hAnsi="黑体" w:eastAsia="黑体" w:cs="黑体"/>
          <w:sz w:val="30"/>
          <w:szCs w:val="30"/>
        </w:rPr>
      </w:pPr>
      <w:bookmarkStart w:id="74" w:name="_Toc74919122"/>
      <w:bookmarkStart w:id="75" w:name="_Toc10861"/>
      <w:bookmarkStart w:id="76" w:name="_Toc30608"/>
      <w:bookmarkStart w:id="77" w:name="_Toc7180"/>
      <w:bookmarkStart w:id="78" w:name="_Toc29984"/>
      <w:bookmarkStart w:id="79" w:name="_Toc17663"/>
      <w:r>
        <w:rPr>
          <w:rFonts w:hint="eastAsia" w:ascii="黑体" w:hAnsi="黑体" w:eastAsia="黑体" w:cs="黑体"/>
          <w:sz w:val="30"/>
          <w:szCs w:val="30"/>
        </w:rPr>
        <w:t>（四）评价标准</w:t>
      </w:r>
      <w:bookmarkEnd w:id="74"/>
      <w:bookmarkEnd w:id="75"/>
      <w:bookmarkEnd w:id="76"/>
      <w:bookmarkEnd w:id="77"/>
      <w:bookmarkEnd w:id="78"/>
      <w:bookmarkEnd w:id="79"/>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本次部门整体支出自评标准具体包括:计划标准、历史标准及经财政部门确认的标准。</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（1）计划标准，是指以预先制定的目标、计划、预算、定额等数据作为绩效评价的标准。计划标准的作用是通过将实际完成值与预期值对比，评价实施效果，分析差异原因。</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（2）历史标准，是指参照往年的历史数据制定的绩效评价标准。历史标准可以是历史上某年期的数据，也可以是多年数据的平均，根据实际评价工作的需要进行设定。</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lang w:eastAsia="zh-CN"/>
        </w:rPr>
        <w:t>（</w:t>
      </w:r>
      <w:r>
        <w:rPr>
          <w:rFonts w:ascii="仿宋_GB2312" w:eastAsia="仿宋_GB2312" w:cs="仿宋_GB2312"/>
          <w:sz w:val="32"/>
          <w:szCs w:val="32"/>
        </w:rPr>
        <w:t>3</w:t>
      </w:r>
      <w:r>
        <w:rPr>
          <w:rFonts w:hint="eastAsia" w:ascii="仿宋_GB2312" w:eastAsia="仿宋_GB2312" w:cs="仿宋_GB2312"/>
          <w:sz w:val="32"/>
          <w:szCs w:val="32"/>
          <w:lang w:eastAsia="zh-CN"/>
        </w:rPr>
        <w:t>）</w:t>
      </w:r>
      <w:r>
        <w:rPr>
          <w:rFonts w:hint="eastAsia" w:ascii="仿宋_GB2312" w:eastAsia="仿宋_GB2312" w:cs="仿宋_GB2312"/>
          <w:sz w:val="32"/>
          <w:szCs w:val="32"/>
        </w:rPr>
        <w:t>经财政部门确认的标准，如财政部门确定的支出定额标准、资产配置标准等。</w:t>
      </w:r>
    </w:p>
    <w:p>
      <w:pPr>
        <w:pStyle w:val="8"/>
        <w:adjustRightInd/>
        <w:snapToGrid/>
        <w:spacing w:before="0" w:after="0"/>
        <w:rPr>
          <w:rFonts w:ascii="黑体" w:hAnsi="黑体" w:eastAsia="黑体" w:cs="黑体"/>
          <w:sz w:val="30"/>
          <w:szCs w:val="30"/>
        </w:rPr>
      </w:pPr>
      <w:bookmarkStart w:id="80" w:name="_Toc5811"/>
      <w:bookmarkStart w:id="81" w:name="_Toc74919123"/>
      <w:bookmarkStart w:id="82" w:name="_Toc15508"/>
      <w:bookmarkStart w:id="83" w:name="_Toc10949"/>
      <w:bookmarkStart w:id="84" w:name="_Toc14131"/>
      <w:bookmarkStart w:id="85" w:name="_Toc3151"/>
      <w:bookmarkStart w:id="86" w:name="_Toc18854"/>
      <w:bookmarkStart w:id="87" w:name="_Toc4464"/>
      <w:r>
        <w:rPr>
          <w:rFonts w:hint="eastAsia" w:ascii="黑体" w:hAnsi="黑体" w:eastAsia="黑体" w:cs="黑体"/>
          <w:sz w:val="30"/>
          <w:szCs w:val="30"/>
        </w:rPr>
        <w:t>（五）绩效自评工作组织</w:t>
      </w:r>
      <w:bookmarkEnd w:id="80"/>
      <w:bookmarkEnd w:id="81"/>
      <w:bookmarkEnd w:id="82"/>
      <w:bookmarkEnd w:id="83"/>
      <w:bookmarkEnd w:id="84"/>
      <w:bookmarkEnd w:id="85"/>
      <w:bookmarkEnd w:id="86"/>
      <w:bookmarkEnd w:id="87"/>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我局依据《</w:t>
      </w:r>
      <w:r>
        <w:rPr>
          <w:rFonts w:ascii="仿宋_GB2312" w:eastAsia="仿宋_GB2312" w:cs="仿宋_GB2312"/>
          <w:sz w:val="32"/>
          <w:szCs w:val="32"/>
          <w:lang w:val="zh-CN"/>
        </w:rPr>
        <w:t>三门峡市财政局关于开展202</w:t>
      </w:r>
      <w:r>
        <w:rPr>
          <w:rFonts w:hint="eastAsia" w:ascii="仿宋_GB2312" w:eastAsia="仿宋_GB2312" w:cs="仿宋_GB2312"/>
          <w:sz w:val="32"/>
          <w:szCs w:val="32"/>
          <w:lang w:val="en-US" w:eastAsia="zh-CN"/>
        </w:rPr>
        <w:t>1</w:t>
      </w:r>
      <w:r>
        <w:rPr>
          <w:rFonts w:ascii="仿宋_GB2312" w:eastAsia="仿宋_GB2312" w:cs="仿宋_GB2312"/>
          <w:sz w:val="32"/>
          <w:szCs w:val="32"/>
          <w:lang w:val="zh-CN"/>
        </w:rPr>
        <w:t>年度市级预算绩效自评工作的通知</w:t>
      </w:r>
      <w:r>
        <w:rPr>
          <w:rFonts w:hint="eastAsia" w:ascii="仿宋_GB2312" w:eastAsia="仿宋_GB2312" w:cs="仿宋_GB2312"/>
          <w:sz w:val="32"/>
          <w:szCs w:val="32"/>
        </w:rPr>
        <w:t>》（</w:t>
      </w:r>
      <w:r>
        <w:rPr>
          <w:rFonts w:ascii="仿宋_GB2312" w:eastAsia="仿宋_GB2312" w:cs="仿宋_GB2312"/>
          <w:sz w:val="32"/>
          <w:szCs w:val="32"/>
          <w:lang w:val="zh-CN"/>
        </w:rPr>
        <w:t>三财效〔202</w:t>
      </w:r>
      <w:r>
        <w:rPr>
          <w:rFonts w:hint="eastAsia" w:ascii="仿宋_GB2312" w:eastAsia="仿宋_GB2312" w:cs="仿宋_GB2312"/>
          <w:sz w:val="32"/>
          <w:szCs w:val="32"/>
          <w:lang w:val="en-US" w:eastAsia="zh-CN"/>
        </w:rPr>
        <w:t>2</w:t>
      </w:r>
      <w:r>
        <w:rPr>
          <w:rFonts w:ascii="仿宋_GB2312" w:eastAsia="仿宋_GB2312" w:cs="仿宋_GB2312"/>
          <w:sz w:val="32"/>
          <w:szCs w:val="32"/>
          <w:lang w:val="zh-CN"/>
        </w:rPr>
        <w:t>〕3号</w:t>
      </w:r>
      <w:r>
        <w:rPr>
          <w:rFonts w:hint="eastAsia" w:ascii="仿宋_GB2312" w:eastAsia="仿宋_GB2312" w:cs="仿宋_GB2312"/>
          <w:sz w:val="32"/>
          <w:szCs w:val="32"/>
        </w:rPr>
        <w:t>）相关要求，由</w:t>
      </w:r>
      <w:r>
        <w:rPr>
          <w:rFonts w:hint="eastAsia" w:ascii="仿宋_GB2312" w:eastAsia="仿宋_GB2312" w:cs="仿宋_GB2312"/>
          <w:sz w:val="32"/>
          <w:szCs w:val="32"/>
          <w:lang w:eastAsia="zh-CN"/>
        </w:rPr>
        <w:t>各业务科室</w:t>
      </w:r>
      <w:r>
        <w:rPr>
          <w:rFonts w:hint="eastAsia" w:ascii="仿宋_GB2312" w:eastAsia="仿宋_GB2312" w:cs="仿宋_GB2312"/>
          <w:sz w:val="32"/>
          <w:szCs w:val="32"/>
        </w:rPr>
        <w:t>根据具体项目指定专人配合进行自评。</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工作组主要工作内容有：</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1.召开自评会议，进行自评工作的统一部署并组织部门相关成员进行必要的政策法规学习；</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.组织有效的调查研究、部门座谈、查阅相关资料；</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lang w:val="en-US" w:eastAsia="zh-CN"/>
        </w:rPr>
        <w:t>3</w:t>
      </w:r>
      <w:r>
        <w:rPr>
          <w:rFonts w:hint="eastAsia" w:ascii="仿宋_GB2312" w:eastAsia="仿宋_GB2312" w:cs="仿宋_GB2312"/>
          <w:sz w:val="32"/>
          <w:szCs w:val="32"/>
        </w:rPr>
        <w:t>.根据获取的资料，依照《部门支出绩效自评表》进行合理打分；</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lang w:val="en-US" w:eastAsia="zh-CN"/>
        </w:rPr>
        <w:t>4</w:t>
      </w:r>
      <w:r>
        <w:rPr>
          <w:rFonts w:hint="eastAsia" w:ascii="仿宋_GB2312" w:eastAsia="仿宋_GB2312" w:cs="仿宋_GB2312"/>
          <w:sz w:val="32"/>
          <w:szCs w:val="32"/>
        </w:rPr>
        <w:t>.综合上述工作成果，撰写部门自评报告；</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lang w:val="en-US" w:eastAsia="zh-CN"/>
        </w:rPr>
        <w:t>5</w:t>
      </w:r>
      <w:r>
        <w:rPr>
          <w:rFonts w:hint="eastAsia" w:ascii="仿宋_GB2312" w:eastAsia="仿宋_GB2312" w:cs="仿宋_GB2312"/>
          <w:sz w:val="32"/>
          <w:szCs w:val="32"/>
        </w:rPr>
        <w:t>.完成部门绩效评价相关政策所要求的其他事项；</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lang w:val="en-US" w:eastAsia="zh-CN"/>
        </w:rPr>
        <w:t>6</w:t>
      </w:r>
      <w:r>
        <w:rPr>
          <w:rFonts w:hint="eastAsia" w:ascii="仿宋_GB2312" w:eastAsia="仿宋_GB2312" w:cs="仿宋_GB2312"/>
          <w:sz w:val="32"/>
          <w:szCs w:val="32"/>
        </w:rPr>
        <w:t>.发现问题，并落实整改。</w:t>
      </w:r>
    </w:p>
    <w:p>
      <w:pPr>
        <w:pStyle w:val="7"/>
        <w:numPr>
          <w:ilvl w:val="0"/>
          <w:numId w:val="1"/>
        </w:numPr>
        <w:spacing w:before="0" w:after="0" w:line="360" w:lineRule="auto"/>
        <w:rPr>
          <w:rFonts w:ascii="黑体" w:hAnsi="黑体" w:eastAsia="黑体" w:cs="黑体"/>
          <w:sz w:val="32"/>
          <w:szCs w:val="32"/>
        </w:rPr>
      </w:pPr>
      <w:bookmarkStart w:id="88" w:name="_Toc14241"/>
      <w:bookmarkStart w:id="89" w:name="_Toc16460"/>
      <w:bookmarkStart w:id="90" w:name="_Toc7601"/>
      <w:bookmarkStart w:id="91" w:name="_Toc74919124"/>
      <w:bookmarkStart w:id="92" w:name="_Toc400"/>
      <w:bookmarkStart w:id="93" w:name="_Toc9720"/>
      <w:r>
        <w:rPr>
          <w:rFonts w:ascii="黑体" w:hAnsi="黑体" w:eastAsia="黑体" w:cs="黑体"/>
          <w:sz w:val="32"/>
          <w:szCs w:val="32"/>
        </w:rPr>
        <w:t>综合评价结论</w:t>
      </w:r>
      <w:bookmarkEnd w:id="88"/>
      <w:bookmarkEnd w:id="89"/>
      <w:bookmarkEnd w:id="90"/>
      <w:bookmarkEnd w:id="91"/>
      <w:bookmarkEnd w:id="92"/>
      <w:bookmarkEnd w:id="93"/>
    </w:p>
    <w:p>
      <w:pPr>
        <w:shd w:val="clear" w:color="auto" w:fill="FFFFFF"/>
        <w:spacing w:line="360" w:lineRule="auto"/>
        <w:ind w:firstLine="640" w:firstLineChars="200"/>
        <w:rPr>
          <w:rFonts w:ascii="仿宋_GB2312" w:eastAsia="仿宋_GB2312" w:cs="仿宋_GB2312"/>
          <w:sz w:val="32"/>
          <w:szCs w:val="32"/>
          <w:lang w:val="zh-CN"/>
        </w:rPr>
      </w:pPr>
      <w:r>
        <w:rPr>
          <w:rFonts w:ascii="仿宋_GB2312" w:eastAsia="仿宋_GB2312" w:cs="仿宋_GB2312"/>
          <w:sz w:val="32"/>
          <w:szCs w:val="32"/>
          <w:lang w:val="zh-CN"/>
        </w:rPr>
        <w:t>根据</w:t>
      </w:r>
      <w:r>
        <w:rPr>
          <w:rFonts w:hint="eastAsia" w:ascii="仿宋_GB2312" w:eastAsia="仿宋_GB2312" w:cs="仿宋_GB2312"/>
          <w:sz w:val="32"/>
          <w:szCs w:val="32"/>
        </w:rPr>
        <w:t>《</w:t>
      </w:r>
      <w:r>
        <w:rPr>
          <w:rFonts w:hint="eastAsia" w:ascii="仿宋_GB2312" w:eastAsia="仿宋_GB2312" w:cs="仿宋_GB2312"/>
          <w:sz w:val="32"/>
          <w:szCs w:val="32"/>
          <w:lang w:val="zh-CN"/>
        </w:rPr>
        <w:t>三门峡市财政局关于开展202</w:t>
      </w:r>
      <w:r>
        <w:rPr>
          <w:rFonts w:hint="eastAsia" w:ascii="仿宋_GB2312" w:eastAsia="仿宋_GB2312" w:cs="仿宋_GB2312"/>
          <w:sz w:val="32"/>
          <w:szCs w:val="32"/>
          <w:lang w:val="en-US" w:eastAsia="zh-CN"/>
        </w:rPr>
        <w:t>1</w:t>
      </w:r>
      <w:r>
        <w:rPr>
          <w:rFonts w:hint="eastAsia" w:ascii="仿宋_GB2312" w:eastAsia="仿宋_GB2312" w:cs="仿宋_GB2312"/>
          <w:sz w:val="32"/>
          <w:szCs w:val="32"/>
          <w:lang w:val="zh-CN"/>
        </w:rPr>
        <w:t>年度市级预算绩效自评工作的通知》（三财效〔202</w:t>
      </w:r>
      <w:r>
        <w:rPr>
          <w:rFonts w:hint="eastAsia" w:ascii="仿宋_GB2312" w:eastAsia="仿宋_GB2312" w:cs="仿宋_GB2312"/>
          <w:sz w:val="32"/>
          <w:szCs w:val="32"/>
          <w:lang w:val="en-US" w:eastAsia="zh-CN"/>
        </w:rPr>
        <w:t>2</w:t>
      </w:r>
      <w:r>
        <w:rPr>
          <w:rFonts w:hint="eastAsia" w:ascii="仿宋_GB2312" w:eastAsia="仿宋_GB2312" w:cs="仿宋_GB2312"/>
          <w:sz w:val="32"/>
          <w:szCs w:val="32"/>
          <w:lang w:val="zh-CN"/>
        </w:rPr>
        <w:t>〕3号）</w:t>
      </w:r>
      <w:r>
        <w:rPr>
          <w:rFonts w:ascii="仿宋_GB2312" w:eastAsia="仿宋_GB2312" w:cs="仿宋_GB2312"/>
          <w:sz w:val="32"/>
          <w:szCs w:val="32"/>
          <w:lang w:val="zh-CN"/>
        </w:rPr>
        <w:t>相关规定，绩效评价结果实行百分制和四级分类，分别是：90</w:t>
      </w:r>
      <w:r>
        <w:rPr>
          <w:rFonts w:hint="eastAsia" w:ascii="仿宋_GB2312" w:eastAsia="仿宋_GB2312" w:cs="仿宋_GB2312"/>
          <w:sz w:val="32"/>
          <w:szCs w:val="32"/>
          <w:lang w:val="zh-CN"/>
        </w:rPr>
        <w:t>（</w:t>
      </w:r>
      <w:r>
        <w:rPr>
          <w:rFonts w:hint="eastAsia" w:ascii="仿宋_GB2312" w:eastAsia="仿宋_GB2312" w:cs="仿宋_GB2312"/>
          <w:sz w:val="32"/>
          <w:szCs w:val="32"/>
        </w:rPr>
        <w:t>含</w:t>
      </w:r>
      <w:r>
        <w:rPr>
          <w:rFonts w:hint="eastAsia" w:ascii="仿宋_GB2312" w:eastAsia="仿宋_GB2312" w:cs="仿宋_GB2312"/>
          <w:sz w:val="32"/>
          <w:szCs w:val="32"/>
          <w:lang w:val="zh-CN"/>
        </w:rPr>
        <w:t>）</w:t>
      </w:r>
      <w:r>
        <w:rPr>
          <w:rFonts w:ascii="仿宋_GB2312" w:eastAsia="仿宋_GB2312" w:cs="仿宋_GB2312"/>
          <w:sz w:val="32"/>
          <w:szCs w:val="32"/>
          <w:lang w:val="zh-CN"/>
        </w:rPr>
        <w:t>-100分为优、80</w:t>
      </w:r>
      <w:r>
        <w:rPr>
          <w:rFonts w:hint="eastAsia" w:ascii="仿宋_GB2312" w:eastAsia="仿宋_GB2312" w:cs="仿宋_GB2312"/>
          <w:sz w:val="32"/>
          <w:szCs w:val="32"/>
          <w:lang w:val="zh-CN"/>
        </w:rPr>
        <w:t>（</w:t>
      </w:r>
      <w:r>
        <w:rPr>
          <w:rFonts w:hint="eastAsia" w:ascii="仿宋_GB2312" w:eastAsia="仿宋_GB2312" w:cs="仿宋_GB2312"/>
          <w:sz w:val="32"/>
          <w:szCs w:val="32"/>
        </w:rPr>
        <w:t>含</w:t>
      </w:r>
      <w:r>
        <w:rPr>
          <w:rFonts w:hint="eastAsia" w:ascii="仿宋_GB2312" w:eastAsia="仿宋_GB2312" w:cs="仿宋_GB2312"/>
          <w:sz w:val="32"/>
          <w:szCs w:val="32"/>
          <w:lang w:val="zh-CN"/>
        </w:rPr>
        <w:t>）</w:t>
      </w:r>
      <w:r>
        <w:rPr>
          <w:rFonts w:ascii="仿宋_GB2312" w:eastAsia="仿宋_GB2312" w:cs="仿宋_GB2312"/>
          <w:sz w:val="32"/>
          <w:szCs w:val="32"/>
          <w:lang w:val="zh-CN"/>
        </w:rPr>
        <w:t>-</w:t>
      </w:r>
      <w:r>
        <w:rPr>
          <w:rFonts w:hint="eastAsia" w:ascii="仿宋_GB2312" w:eastAsia="仿宋_GB2312" w:cs="仿宋_GB2312"/>
          <w:sz w:val="32"/>
          <w:szCs w:val="32"/>
        </w:rPr>
        <w:t>90</w:t>
      </w:r>
      <w:r>
        <w:rPr>
          <w:rFonts w:ascii="仿宋_GB2312" w:eastAsia="仿宋_GB2312" w:cs="仿宋_GB2312"/>
          <w:sz w:val="32"/>
          <w:szCs w:val="32"/>
          <w:lang w:val="zh-CN"/>
        </w:rPr>
        <w:t>分为良、60</w:t>
      </w:r>
      <w:r>
        <w:rPr>
          <w:rFonts w:hint="eastAsia" w:ascii="仿宋_GB2312" w:eastAsia="仿宋_GB2312" w:cs="仿宋_GB2312"/>
          <w:sz w:val="32"/>
          <w:szCs w:val="32"/>
          <w:lang w:val="zh-CN"/>
        </w:rPr>
        <w:t>（</w:t>
      </w:r>
      <w:r>
        <w:rPr>
          <w:rFonts w:hint="eastAsia" w:ascii="仿宋_GB2312" w:eastAsia="仿宋_GB2312" w:cs="仿宋_GB2312"/>
          <w:sz w:val="32"/>
          <w:szCs w:val="32"/>
        </w:rPr>
        <w:t>含</w:t>
      </w:r>
      <w:r>
        <w:rPr>
          <w:rFonts w:hint="eastAsia" w:ascii="仿宋_GB2312" w:eastAsia="仿宋_GB2312" w:cs="仿宋_GB2312"/>
          <w:sz w:val="32"/>
          <w:szCs w:val="32"/>
          <w:lang w:val="zh-CN"/>
        </w:rPr>
        <w:t>）</w:t>
      </w:r>
      <w:r>
        <w:rPr>
          <w:rFonts w:ascii="仿宋_GB2312" w:eastAsia="仿宋_GB2312" w:cs="仿宋_GB2312"/>
          <w:sz w:val="32"/>
          <w:szCs w:val="32"/>
          <w:lang w:val="zh-CN"/>
        </w:rPr>
        <w:t>-</w:t>
      </w:r>
      <w:r>
        <w:rPr>
          <w:rFonts w:hint="eastAsia" w:ascii="仿宋_GB2312" w:eastAsia="仿宋_GB2312" w:cs="仿宋_GB2312"/>
          <w:sz w:val="32"/>
          <w:szCs w:val="32"/>
        </w:rPr>
        <w:t>80</w:t>
      </w:r>
      <w:r>
        <w:rPr>
          <w:rFonts w:ascii="仿宋_GB2312" w:eastAsia="仿宋_GB2312" w:cs="仿宋_GB2312"/>
          <w:sz w:val="32"/>
          <w:szCs w:val="32"/>
          <w:lang w:val="zh-CN"/>
        </w:rPr>
        <w:t>分为中、</w:t>
      </w:r>
      <w:r>
        <w:rPr>
          <w:rFonts w:hint="eastAsia" w:ascii="仿宋_GB2312" w:eastAsia="仿宋_GB2312" w:cs="仿宋_GB2312"/>
          <w:sz w:val="32"/>
          <w:szCs w:val="32"/>
        </w:rPr>
        <w:t>60</w:t>
      </w:r>
      <w:r>
        <w:rPr>
          <w:rFonts w:ascii="仿宋_GB2312" w:eastAsia="仿宋_GB2312" w:cs="仿宋_GB2312"/>
          <w:sz w:val="32"/>
          <w:szCs w:val="32"/>
          <w:lang w:val="zh-CN"/>
        </w:rPr>
        <w:t>分</w:t>
      </w:r>
      <w:r>
        <w:rPr>
          <w:rFonts w:hint="eastAsia" w:ascii="仿宋_GB2312" w:eastAsia="仿宋_GB2312" w:cs="仿宋_GB2312"/>
          <w:sz w:val="32"/>
          <w:szCs w:val="32"/>
        </w:rPr>
        <w:t>以下</w:t>
      </w:r>
      <w:r>
        <w:rPr>
          <w:rFonts w:ascii="仿宋_GB2312" w:eastAsia="仿宋_GB2312" w:cs="仿宋_GB2312"/>
          <w:sz w:val="32"/>
          <w:szCs w:val="32"/>
          <w:lang w:val="zh-CN"/>
        </w:rPr>
        <w:t>为差。</w:t>
      </w:r>
    </w:p>
    <w:p>
      <w:pPr>
        <w:shd w:val="clear" w:color="auto" w:fill="FFFFFF"/>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依据自评指标体系，通过对</w:t>
      </w:r>
      <w:r>
        <w:rPr>
          <w:rFonts w:hint="eastAsia" w:ascii="仿宋_GB2312" w:eastAsia="仿宋_GB2312" w:cs="仿宋_GB2312"/>
          <w:sz w:val="32"/>
          <w:szCs w:val="32"/>
        </w:rPr>
        <w:t>预算执行情况、投入管理指标、产出指标、效益指标</w:t>
      </w:r>
      <w:r>
        <w:rPr>
          <w:rFonts w:ascii="仿宋_GB2312" w:eastAsia="仿宋_GB2312" w:cs="仿宋_GB2312"/>
          <w:sz w:val="32"/>
          <w:szCs w:val="32"/>
        </w:rPr>
        <w:t>进行全面综合评价，20</w:t>
      </w:r>
      <w:r>
        <w:rPr>
          <w:rFonts w:hint="eastAsia" w:ascii="仿宋_GB2312" w:eastAsia="仿宋_GB2312" w:cs="仿宋_GB2312"/>
          <w:sz w:val="32"/>
          <w:szCs w:val="32"/>
        </w:rPr>
        <w:t>2</w:t>
      </w:r>
      <w:r>
        <w:rPr>
          <w:rFonts w:hint="eastAsia" w:ascii="仿宋_GB2312" w:eastAsia="仿宋_GB2312" w:cs="仿宋_GB2312"/>
          <w:sz w:val="32"/>
          <w:szCs w:val="32"/>
          <w:lang w:val="en-US" w:eastAsia="zh-CN"/>
        </w:rPr>
        <w:t>1</w:t>
      </w:r>
      <w:r>
        <w:rPr>
          <w:rFonts w:ascii="仿宋_GB2312" w:eastAsia="仿宋_GB2312" w:cs="仿宋_GB2312"/>
          <w:sz w:val="32"/>
          <w:szCs w:val="32"/>
        </w:rPr>
        <w:t>年度</w:t>
      </w:r>
      <w:r>
        <w:rPr>
          <w:rFonts w:hint="eastAsia" w:ascii="仿宋_GB2312" w:eastAsia="仿宋_GB2312" w:cs="仿宋_GB2312"/>
          <w:sz w:val="32"/>
          <w:szCs w:val="32"/>
        </w:rPr>
        <w:t>我局</w:t>
      </w:r>
      <w:r>
        <w:rPr>
          <w:rFonts w:ascii="仿宋_GB2312" w:eastAsia="仿宋_GB2312" w:cs="仿宋_GB2312"/>
          <w:sz w:val="32"/>
          <w:szCs w:val="32"/>
        </w:rPr>
        <w:t>整体自评得分为</w:t>
      </w:r>
      <w:r>
        <w:rPr>
          <w:rFonts w:hint="eastAsia" w:ascii="仿宋_GB2312" w:eastAsia="仿宋_GB2312" w:cs="仿宋_GB2312"/>
          <w:sz w:val="32"/>
          <w:szCs w:val="32"/>
          <w:lang w:val="en-US" w:eastAsia="zh-CN"/>
        </w:rPr>
        <w:t>91.7</w:t>
      </w:r>
      <w:r>
        <w:rPr>
          <w:rFonts w:ascii="仿宋_GB2312" w:eastAsia="仿宋_GB2312" w:cs="仿宋_GB2312"/>
          <w:sz w:val="32"/>
          <w:szCs w:val="32"/>
        </w:rPr>
        <w:t>分，评价等级为</w:t>
      </w:r>
      <w:r>
        <w:rPr>
          <w:rFonts w:hint="eastAsia" w:ascii="仿宋_GB2312" w:eastAsia="仿宋_GB2312" w:cs="仿宋_GB2312"/>
          <w:sz w:val="32"/>
          <w:szCs w:val="32"/>
        </w:rPr>
        <w:t>“优”。</w:t>
      </w:r>
    </w:p>
    <w:p>
      <w:pPr>
        <w:rPr>
          <w:rFonts w:ascii="黑体" w:hAnsi="黑体" w:eastAsia="黑体" w:cs="黑体"/>
          <w:sz w:val="32"/>
          <w:szCs w:val="32"/>
        </w:rPr>
      </w:pPr>
      <w:bookmarkStart w:id="94" w:name="_Toc30662"/>
      <w:bookmarkStart w:id="95" w:name="_Toc10236"/>
      <w:bookmarkStart w:id="96" w:name="_Toc29312"/>
      <w:bookmarkStart w:id="97" w:name="_Toc74919125"/>
      <w:bookmarkStart w:id="98" w:name="_Toc28504"/>
      <w:bookmarkStart w:id="99" w:name="_Toc19548"/>
      <w:r>
        <w:rPr>
          <w:rFonts w:ascii="黑体" w:hAnsi="黑体" w:eastAsia="黑体" w:cs="黑体"/>
          <w:sz w:val="32"/>
          <w:szCs w:val="32"/>
        </w:rPr>
        <w:t>绩效目标实现情况分析</w:t>
      </w:r>
      <w:bookmarkEnd w:id="94"/>
      <w:bookmarkEnd w:id="95"/>
      <w:bookmarkEnd w:id="96"/>
      <w:bookmarkEnd w:id="97"/>
      <w:bookmarkEnd w:id="98"/>
      <w:bookmarkEnd w:id="99"/>
    </w:p>
    <w:p>
      <w:pPr>
        <w:pStyle w:val="8"/>
        <w:adjustRightInd/>
        <w:snapToGrid/>
        <w:spacing w:before="0" w:after="0"/>
        <w:rPr>
          <w:rFonts w:ascii="黑体" w:hAnsi="黑体" w:eastAsia="黑体" w:cs="黑体"/>
          <w:sz w:val="30"/>
          <w:szCs w:val="30"/>
        </w:rPr>
      </w:pPr>
      <w:bookmarkStart w:id="100" w:name="_Toc248"/>
      <w:bookmarkStart w:id="101" w:name="_Toc30125"/>
      <w:bookmarkStart w:id="102" w:name="_Toc74919126"/>
      <w:bookmarkStart w:id="103" w:name="_Toc14968"/>
      <w:bookmarkStart w:id="104" w:name="_Toc3527"/>
      <w:bookmarkStart w:id="105" w:name="_Toc28902"/>
      <w:r>
        <w:rPr>
          <w:rFonts w:ascii="黑体" w:hAnsi="黑体" w:eastAsia="黑体" w:cs="黑体"/>
          <w:sz w:val="30"/>
          <w:szCs w:val="30"/>
        </w:rPr>
        <w:t>(一)部门资金情况分析</w:t>
      </w:r>
      <w:bookmarkEnd w:id="100"/>
      <w:bookmarkEnd w:id="101"/>
      <w:bookmarkEnd w:id="102"/>
      <w:bookmarkEnd w:id="103"/>
      <w:bookmarkEnd w:id="104"/>
      <w:bookmarkEnd w:id="105"/>
    </w:p>
    <w:p>
      <w:pPr>
        <w:pStyle w:val="9"/>
        <w:adjustRightInd/>
        <w:snapToGrid/>
        <w:spacing w:before="0" w:after="0"/>
        <w:ind w:firstLine="0" w:firstLineChars="0"/>
        <w:rPr>
          <w:rFonts w:ascii="黑体" w:hAnsi="黑体" w:eastAsia="黑体" w:cs="黑体"/>
          <w:sz w:val="28"/>
          <w:szCs w:val="28"/>
        </w:rPr>
      </w:pPr>
      <w:bookmarkStart w:id="106" w:name="_Toc10854"/>
      <w:bookmarkStart w:id="107" w:name="_Toc520"/>
      <w:r>
        <w:rPr>
          <w:rFonts w:hint="eastAsia" w:ascii="黑体" w:hAnsi="黑体" w:eastAsia="黑体" w:cs="黑体"/>
          <w:sz w:val="28"/>
          <w:szCs w:val="28"/>
        </w:rPr>
        <w:t>1.资金到位情况与资金执行情况</w:t>
      </w:r>
      <w:bookmarkEnd w:id="106"/>
      <w:bookmarkEnd w:id="107"/>
    </w:p>
    <w:p>
      <w:pPr>
        <w:pStyle w:val="9"/>
        <w:adjustRightInd/>
        <w:snapToGrid/>
        <w:spacing w:before="0" w:after="0"/>
        <w:ind w:firstLine="640" w:firstLineChars="200"/>
        <w:rPr>
          <w:rFonts w:ascii="仿宋_GB2312" w:eastAsia="仿宋_GB2312" w:cs="仿宋_GB2312"/>
          <w:b w:val="0"/>
          <w:bCs/>
          <w:sz w:val="32"/>
          <w:szCs w:val="32"/>
        </w:rPr>
      </w:pPr>
      <w:r>
        <w:rPr>
          <w:rFonts w:hint="eastAsia" w:ascii="仿宋_GB2312" w:eastAsia="仿宋_GB2312" w:cs="仿宋_GB2312"/>
          <w:b w:val="0"/>
          <w:bCs/>
          <w:sz w:val="32"/>
          <w:szCs w:val="32"/>
        </w:rPr>
        <w:t>我局</w:t>
      </w:r>
      <w:r>
        <w:rPr>
          <w:rFonts w:ascii="仿宋_GB2312" w:eastAsia="仿宋_GB2312" w:cs="仿宋_GB2312"/>
          <w:b w:val="0"/>
          <w:bCs/>
          <w:sz w:val="32"/>
          <w:szCs w:val="32"/>
        </w:rPr>
        <w:t>20</w:t>
      </w:r>
      <w:r>
        <w:rPr>
          <w:rFonts w:hint="eastAsia" w:ascii="仿宋_GB2312" w:eastAsia="仿宋_GB2312" w:cs="仿宋_GB2312"/>
          <w:b w:val="0"/>
          <w:bCs/>
          <w:sz w:val="32"/>
          <w:szCs w:val="32"/>
        </w:rPr>
        <w:t>2</w:t>
      </w:r>
      <w:r>
        <w:rPr>
          <w:rFonts w:hint="eastAsia" w:ascii="仿宋_GB2312" w:eastAsia="仿宋_GB2312" w:cs="仿宋_GB2312"/>
          <w:b w:val="0"/>
          <w:bCs/>
          <w:sz w:val="32"/>
          <w:szCs w:val="32"/>
          <w:lang w:val="en-US" w:eastAsia="zh-CN"/>
        </w:rPr>
        <w:t>1</w:t>
      </w:r>
      <w:r>
        <w:rPr>
          <w:rFonts w:ascii="仿宋_GB2312" w:eastAsia="仿宋_GB2312" w:cs="仿宋_GB2312"/>
          <w:b w:val="0"/>
          <w:bCs/>
          <w:sz w:val="32"/>
          <w:szCs w:val="32"/>
        </w:rPr>
        <w:t>年年初预算资金</w:t>
      </w:r>
      <w:r>
        <w:rPr>
          <w:rFonts w:hint="eastAsia" w:ascii="仿宋_GB2312" w:eastAsia="仿宋_GB2312" w:cs="仿宋_GB2312"/>
          <w:b w:val="0"/>
          <w:bCs/>
          <w:sz w:val="32"/>
          <w:szCs w:val="32"/>
          <w:lang w:val="en-US" w:eastAsia="zh-CN"/>
        </w:rPr>
        <w:t>2921.35</w:t>
      </w:r>
      <w:r>
        <w:rPr>
          <w:rFonts w:ascii="仿宋_GB2312" w:eastAsia="仿宋_GB2312" w:cs="仿宋_GB2312"/>
          <w:b w:val="0"/>
          <w:bCs/>
          <w:sz w:val="32"/>
          <w:szCs w:val="32"/>
        </w:rPr>
        <w:t>万元；全年实际执行数为</w:t>
      </w:r>
      <w:r>
        <w:rPr>
          <w:rFonts w:hint="eastAsia" w:ascii="仿宋_GB2312" w:eastAsia="仿宋_GB2312" w:cs="仿宋_GB2312"/>
          <w:b w:val="0"/>
          <w:bCs/>
          <w:sz w:val="32"/>
          <w:szCs w:val="32"/>
          <w:lang w:val="en-US" w:eastAsia="zh-CN"/>
        </w:rPr>
        <w:t>2913.35</w:t>
      </w:r>
      <w:r>
        <w:rPr>
          <w:rFonts w:ascii="仿宋_GB2312" w:eastAsia="仿宋_GB2312" w:cs="仿宋_GB2312"/>
          <w:b w:val="0"/>
          <w:bCs/>
          <w:sz w:val="32"/>
          <w:szCs w:val="32"/>
        </w:rPr>
        <w:t>万元，预算执行率为</w:t>
      </w:r>
      <w:r>
        <w:rPr>
          <w:rFonts w:hint="eastAsia" w:ascii="仿宋_GB2312" w:eastAsia="仿宋_GB2312" w:cs="仿宋_GB2312"/>
          <w:b w:val="0"/>
          <w:bCs/>
          <w:sz w:val="32"/>
          <w:szCs w:val="32"/>
          <w:lang w:val="en-US" w:eastAsia="zh-CN"/>
        </w:rPr>
        <w:t>99</w:t>
      </w:r>
      <w:r>
        <w:rPr>
          <w:rFonts w:hint="eastAsia" w:ascii="仿宋_GB2312" w:eastAsia="仿宋_GB2312" w:cs="仿宋_GB2312"/>
          <w:b w:val="0"/>
          <w:bCs/>
          <w:sz w:val="32"/>
          <w:szCs w:val="32"/>
        </w:rPr>
        <w:t>.</w:t>
      </w:r>
      <w:r>
        <w:rPr>
          <w:rFonts w:hint="eastAsia" w:ascii="仿宋_GB2312" w:eastAsia="仿宋_GB2312" w:cs="仿宋_GB2312"/>
          <w:b w:val="0"/>
          <w:bCs/>
          <w:sz w:val="32"/>
          <w:szCs w:val="32"/>
          <w:lang w:val="en-US" w:eastAsia="zh-CN"/>
        </w:rPr>
        <w:t>7</w:t>
      </w:r>
      <w:r>
        <w:rPr>
          <w:rFonts w:hint="eastAsia" w:ascii="仿宋_GB2312" w:eastAsia="仿宋_GB2312" w:cs="仿宋_GB2312"/>
          <w:b w:val="0"/>
          <w:bCs/>
          <w:sz w:val="32"/>
          <w:szCs w:val="32"/>
        </w:rPr>
        <w:t>%</w:t>
      </w:r>
      <w:r>
        <w:rPr>
          <w:rFonts w:ascii="仿宋_GB2312" w:eastAsia="仿宋_GB2312" w:cs="仿宋_GB2312"/>
          <w:b w:val="0"/>
          <w:bCs/>
          <w:sz w:val="32"/>
          <w:szCs w:val="32"/>
        </w:rPr>
        <w:t>。</w:t>
      </w:r>
      <w:bookmarkStart w:id="108" w:name="_Toc21207"/>
      <w:bookmarkStart w:id="109" w:name="_Toc26211"/>
    </w:p>
    <w:p>
      <w:pPr>
        <w:pStyle w:val="9"/>
        <w:adjustRightInd/>
        <w:snapToGrid/>
        <w:spacing w:before="0" w:after="0"/>
        <w:ind w:firstLine="0" w:firstLineChars="0"/>
        <w:rPr>
          <w:rFonts w:ascii="黑体" w:hAnsi="黑体" w:eastAsia="黑体" w:cs="黑体"/>
          <w:sz w:val="28"/>
          <w:szCs w:val="28"/>
        </w:rPr>
      </w:pPr>
      <w:r>
        <w:rPr>
          <w:rFonts w:ascii="黑体" w:hAnsi="黑体" w:eastAsia="黑体" w:cs="黑体"/>
          <w:sz w:val="28"/>
          <w:szCs w:val="28"/>
        </w:rPr>
        <w:t>2.资金管理情况</w:t>
      </w:r>
      <w:bookmarkEnd w:id="108"/>
      <w:bookmarkEnd w:id="109"/>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我局根据《中华人民共和国预算法》《会计法》《行政事业单位财务规则》和《河南省预算监督条例》等有关财经法律法规制度和财政部、省财政厅及市财政局有关财务规章的规定，结合我局实际，制定了《三门峡市场监督管理局财务文件汇编》，</w:t>
      </w:r>
      <w:r>
        <w:rPr>
          <w:rFonts w:ascii="仿宋_GB2312" w:eastAsia="仿宋_GB2312" w:cs="仿宋_GB2312"/>
          <w:sz w:val="32"/>
          <w:szCs w:val="32"/>
        </w:rPr>
        <w:t>该制度符合国家财经法规和财务管理制度规定以及有关专项资金管理办法的规定。</w:t>
      </w:r>
      <w:r>
        <w:rPr>
          <w:rFonts w:hint="eastAsia" w:ascii="仿宋_GB2312" w:eastAsia="仿宋_GB2312" w:cs="仿宋_GB2312"/>
          <w:sz w:val="32"/>
          <w:szCs w:val="32"/>
        </w:rPr>
        <w:t>《三门峡市场监督管理局财务文件汇编》对机关财务管理、差旅费管理、固定资产管、理项目资金管理、内部审计管理等方面做出了规定。针对主要经费的管理，明确了相应原则和要求、开支范围、程序、办法及标准、审批权限等，上述制度规定基本得到执行。</w:t>
      </w:r>
    </w:p>
    <w:p>
      <w:pPr>
        <w:pStyle w:val="8"/>
        <w:numPr>
          <w:ilvl w:val="0"/>
          <w:numId w:val="2"/>
        </w:numPr>
        <w:adjustRightInd/>
        <w:snapToGrid/>
        <w:spacing w:before="0" w:after="0"/>
        <w:rPr>
          <w:rFonts w:hint="eastAsia" w:ascii="黑体" w:hAnsi="黑体" w:eastAsia="黑体" w:cs="黑体"/>
          <w:sz w:val="30"/>
          <w:szCs w:val="30"/>
        </w:rPr>
      </w:pPr>
      <w:bookmarkStart w:id="110" w:name="_Toc19746"/>
      <w:bookmarkStart w:id="111" w:name="_Toc378"/>
      <w:bookmarkStart w:id="112" w:name="_Toc9537"/>
      <w:bookmarkStart w:id="113" w:name="_Toc13966"/>
      <w:bookmarkStart w:id="114" w:name="_Toc773"/>
      <w:bookmarkStart w:id="115" w:name="_Toc74919128"/>
      <w:r>
        <w:rPr>
          <w:rFonts w:hint="eastAsia" w:ascii="黑体" w:hAnsi="黑体" w:eastAsia="黑体" w:cs="黑体"/>
          <w:sz w:val="30"/>
          <w:szCs w:val="30"/>
        </w:rPr>
        <w:t>部门整体支出绩效情况</w:t>
      </w:r>
      <w:bookmarkEnd w:id="110"/>
      <w:bookmarkEnd w:id="111"/>
      <w:bookmarkEnd w:id="112"/>
      <w:bookmarkEnd w:id="113"/>
      <w:bookmarkEnd w:id="114"/>
      <w:bookmarkEnd w:id="115"/>
    </w:p>
    <w:p>
      <w:pPr>
        <w:keepNext w:val="0"/>
        <w:keepLines w:val="0"/>
        <w:pageBreakBefore w:val="0"/>
        <w:kinsoku/>
        <w:wordWrap/>
        <w:overflowPunct/>
        <w:topLinePunct w:val="0"/>
        <w:autoSpaceDE/>
        <w:autoSpaceDN/>
        <w:bidi w:val="0"/>
        <w:adjustRightInd/>
        <w:spacing w:line="600" w:lineRule="exact"/>
        <w:ind w:firstLine="643" w:firstLineChars="200"/>
        <w:textAlignment w:val="auto"/>
        <w:rPr>
          <w:rFonts w:hint="default" w:ascii="Times New Roman" w:hAnsi="Times New Roman" w:eastAsia="仿宋_GB2312" w:cs="Times New Roman"/>
          <w:color w:val="auto"/>
          <w:w w:val="100"/>
          <w:sz w:val="32"/>
          <w:szCs w:val="32"/>
          <w:lang w:val="en-US" w:eastAsia="zh-CN"/>
        </w:rPr>
      </w:pPr>
      <w:r>
        <w:rPr>
          <w:rFonts w:hint="eastAsia" w:ascii="Times New Roman" w:hAnsi="Times New Roman" w:eastAsia="楷体_GB2312" w:cs="Times New Roman"/>
          <w:b/>
          <w:bCs/>
          <w:color w:val="auto"/>
          <w:w w:val="100"/>
          <w:sz w:val="32"/>
          <w:szCs w:val="32"/>
          <w:lang w:val="en-US" w:eastAsia="zh-CN"/>
        </w:rPr>
        <w:t>1</w:t>
      </w:r>
      <w:r>
        <w:rPr>
          <w:rFonts w:hint="default" w:ascii="Times New Roman" w:hAnsi="Times New Roman" w:eastAsia="楷体_GB2312" w:cs="Times New Roman"/>
          <w:b/>
          <w:bCs/>
          <w:color w:val="auto"/>
          <w:w w:val="100"/>
          <w:sz w:val="32"/>
          <w:szCs w:val="32"/>
          <w:lang w:eastAsia="zh-CN"/>
        </w:rPr>
        <w:t>持续开展抽样检测，</w:t>
      </w:r>
      <w:r>
        <w:rPr>
          <w:rFonts w:hint="default" w:ascii="Times New Roman" w:hAnsi="Times New Roman" w:eastAsia="楷体_GB2312" w:cs="Times New Roman"/>
          <w:b/>
          <w:bCs/>
          <w:color w:val="auto"/>
          <w:w w:val="100"/>
          <w:sz w:val="32"/>
          <w:szCs w:val="32"/>
          <w:lang w:val="en-US" w:eastAsia="zh-CN"/>
        </w:rPr>
        <w:t>流通领域消费品质量监管</w:t>
      </w:r>
      <w:r>
        <w:rPr>
          <w:rFonts w:hint="default" w:ascii="Times New Roman" w:hAnsi="Times New Roman" w:eastAsia="楷体_GB2312" w:cs="Times New Roman"/>
          <w:b/>
          <w:bCs/>
          <w:color w:val="auto"/>
          <w:w w:val="100"/>
          <w:sz w:val="32"/>
          <w:szCs w:val="32"/>
          <w:lang w:eastAsia="zh-CN"/>
        </w:rPr>
        <w:t>不断</w:t>
      </w:r>
      <w:r>
        <w:rPr>
          <w:rFonts w:hint="default" w:ascii="Times New Roman" w:hAnsi="Times New Roman" w:eastAsia="楷体_GB2312" w:cs="Times New Roman"/>
          <w:b/>
          <w:bCs/>
          <w:color w:val="auto"/>
          <w:w w:val="100"/>
          <w:sz w:val="32"/>
          <w:szCs w:val="32"/>
          <w:lang w:val="en-US" w:eastAsia="zh-CN"/>
        </w:rPr>
        <w:t>加强。</w:t>
      </w:r>
      <w:r>
        <w:rPr>
          <w:rFonts w:hint="default" w:ascii="Times New Roman" w:hAnsi="Times New Roman" w:eastAsia="仿宋_GB2312" w:cs="Times New Roman"/>
          <w:b w:val="0"/>
          <w:bCs w:val="0"/>
          <w:color w:val="auto"/>
          <w:w w:val="100"/>
          <w:sz w:val="32"/>
          <w:szCs w:val="32"/>
          <w:lang w:val="en-US" w:eastAsia="zh-CN"/>
        </w:rPr>
        <w:t>对全市流通领域消费品实施质量抽样与检测，</w:t>
      </w:r>
      <w:r>
        <w:rPr>
          <w:rFonts w:hint="default" w:ascii="Times New Roman" w:hAnsi="Times New Roman" w:eastAsia="仿宋_GB2312" w:cs="Times New Roman"/>
          <w:color w:val="auto"/>
          <w:w w:val="100"/>
          <w:sz w:val="32"/>
          <w:szCs w:val="32"/>
          <w:lang w:val="en-US" w:eastAsia="zh-CN"/>
        </w:rPr>
        <w:t>全年共抽检消费品730批次，合格705批次，不合格25 批次，合格率96.57 %，完成市政府所定消费品质量合格率达到90%目标任务的107.3%。其中，</w:t>
      </w:r>
      <w:r>
        <w:rPr>
          <w:rFonts w:hint="default" w:ascii="Times New Roman" w:hAnsi="Times New Roman" w:eastAsia="仿宋_GB2312" w:cs="Times New Roman"/>
          <w:color w:val="auto"/>
          <w:w w:val="100"/>
          <w:sz w:val="32"/>
          <w:szCs w:val="32"/>
        </w:rPr>
        <w:t>抽检流通</w:t>
      </w:r>
      <w:r>
        <w:rPr>
          <w:rFonts w:hint="default" w:ascii="Times New Roman" w:hAnsi="Times New Roman" w:eastAsia="仿宋_GB2312" w:cs="Times New Roman"/>
          <w:color w:val="auto"/>
          <w:w w:val="100"/>
          <w:sz w:val="32"/>
          <w:szCs w:val="32"/>
          <w:lang w:eastAsia="zh-CN"/>
        </w:rPr>
        <w:t>领域</w:t>
      </w:r>
      <w:r>
        <w:rPr>
          <w:rFonts w:hint="default" w:ascii="Times New Roman" w:hAnsi="Times New Roman" w:eastAsia="仿宋_GB2312" w:cs="Times New Roman"/>
          <w:color w:val="auto"/>
          <w:w w:val="100"/>
          <w:sz w:val="32"/>
          <w:szCs w:val="32"/>
        </w:rPr>
        <w:t>重点产品46个批次，</w:t>
      </w:r>
      <w:r>
        <w:rPr>
          <w:rFonts w:hint="default" w:ascii="Times New Roman" w:hAnsi="Times New Roman" w:eastAsia="仿宋_GB2312" w:cs="Times New Roman"/>
          <w:color w:val="auto"/>
          <w:w w:val="100"/>
          <w:sz w:val="32"/>
          <w:szCs w:val="32"/>
          <w:lang w:eastAsia="zh-CN"/>
        </w:rPr>
        <w:t>（</w:t>
      </w:r>
      <w:r>
        <w:rPr>
          <w:rFonts w:hint="default" w:ascii="Times New Roman" w:hAnsi="Times New Roman" w:eastAsia="仿宋_GB2312" w:cs="Times New Roman"/>
          <w:color w:val="auto"/>
          <w:w w:val="100"/>
          <w:sz w:val="32"/>
          <w:szCs w:val="32"/>
        </w:rPr>
        <w:t>消防产品6批次、电动自行车8批次、取暖小家电10批次、开关插座6批次、电线电缆4批次，儿童用品6批次，学生用品6批次</w:t>
      </w:r>
      <w:r>
        <w:rPr>
          <w:rFonts w:hint="default" w:ascii="Times New Roman" w:hAnsi="Times New Roman" w:eastAsia="仿宋_GB2312" w:cs="Times New Roman"/>
          <w:color w:val="auto"/>
          <w:w w:val="100"/>
          <w:sz w:val="32"/>
          <w:szCs w:val="32"/>
          <w:lang w:eastAsia="zh-CN"/>
        </w:rPr>
        <w:t>）全部</w:t>
      </w:r>
      <w:r>
        <w:rPr>
          <w:rFonts w:hint="default" w:ascii="Times New Roman" w:hAnsi="Times New Roman" w:eastAsia="仿宋_GB2312" w:cs="Times New Roman"/>
          <w:color w:val="auto"/>
          <w:w w:val="100"/>
          <w:sz w:val="32"/>
          <w:szCs w:val="32"/>
        </w:rPr>
        <w:t>合格。抽检</w:t>
      </w:r>
      <w:r>
        <w:rPr>
          <w:rFonts w:hint="default" w:ascii="Times New Roman" w:hAnsi="Times New Roman" w:eastAsia="仿宋_GB2312" w:cs="Times New Roman"/>
          <w:color w:val="auto"/>
          <w:w w:val="100"/>
          <w:sz w:val="32"/>
          <w:szCs w:val="32"/>
          <w:lang w:eastAsia="zh-CN"/>
        </w:rPr>
        <w:t>成品油及车用尿素</w:t>
      </w:r>
      <w:r>
        <w:rPr>
          <w:rFonts w:hint="default" w:ascii="Times New Roman" w:hAnsi="Times New Roman" w:eastAsia="仿宋_GB2312" w:cs="Times New Roman"/>
          <w:color w:val="auto"/>
          <w:w w:val="100"/>
          <w:sz w:val="32"/>
          <w:szCs w:val="32"/>
        </w:rPr>
        <w:t>614批次</w:t>
      </w:r>
      <w:r>
        <w:rPr>
          <w:rFonts w:hint="default" w:ascii="Times New Roman" w:hAnsi="Times New Roman" w:eastAsia="仿宋_GB2312" w:cs="Times New Roman"/>
          <w:color w:val="auto"/>
          <w:w w:val="100"/>
          <w:sz w:val="32"/>
          <w:szCs w:val="32"/>
          <w:lang w:eastAsia="zh-CN"/>
        </w:rPr>
        <w:t>（</w:t>
      </w:r>
      <w:r>
        <w:rPr>
          <w:rFonts w:hint="default" w:ascii="Times New Roman" w:hAnsi="Times New Roman" w:eastAsia="仿宋_GB2312" w:cs="Times New Roman"/>
          <w:color w:val="auto"/>
          <w:w w:val="100"/>
          <w:sz w:val="32"/>
          <w:szCs w:val="32"/>
        </w:rPr>
        <w:t>其中乙醇汽油318个批次，柴油227个批次，车用尿素69个批次</w:t>
      </w:r>
      <w:r>
        <w:rPr>
          <w:rFonts w:hint="default" w:ascii="Times New Roman" w:hAnsi="Times New Roman" w:eastAsia="仿宋_GB2312" w:cs="Times New Roman"/>
          <w:color w:val="auto"/>
          <w:w w:val="100"/>
          <w:sz w:val="32"/>
          <w:szCs w:val="32"/>
          <w:lang w:eastAsia="zh-CN"/>
        </w:rPr>
        <w:t>）</w:t>
      </w:r>
      <w:r>
        <w:rPr>
          <w:rFonts w:hint="default" w:ascii="Times New Roman" w:hAnsi="Times New Roman" w:eastAsia="仿宋_GB2312" w:cs="Times New Roman"/>
          <w:color w:val="auto"/>
          <w:w w:val="100"/>
          <w:sz w:val="32"/>
          <w:szCs w:val="32"/>
        </w:rPr>
        <w:t>。</w:t>
      </w:r>
      <w:r>
        <w:rPr>
          <w:rFonts w:hint="default" w:ascii="Times New Roman" w:hAnsi="Times New Roman" w:eastAsia="仿宋_GB2312" w:cs="Times New Roman"/>
          <w:color w:val="auto"/>
          <w:w w:val="100"/>
          <w:sz w:val="32"/>
          <w:szCs w:val="32"/>
          <w:lang w:eastAsia="zh-CN"/>
        </w:rPr>
        <w:t>不合格</w:t>
      </w:r>
      <w:r>
        <w:rPr>
          <w:rFonts w:hint="default" w:ascii="Times New Roman" w:hAnsi="Times New Roman" w:eastAsia="仿宋_GB2312" w:cs="Times New Roman"/>
          <w:color w:val="auto"/>
          <w:w w:val="100"/>
          <w:sz w:val="32"/>
          <w:szCs w:val="32"/>
          <w:lang w:val="en-US" w:eastAsia="zh-CN"/>
        </w:rPr>
        <w:t>13个批次（其中</w:t>
      </w:r>
      <w:r>
        <w:rPr>
          <w:rFonts w:hint="default" w:ascii="Times New Roman" w:hAnsi="Times New Roman" w:eastAsia="仿宋_GB2312" w:cs="Times New Roman"/>
          <w:color w:val="auto"/>
          <w:w w:val="100"/>
          <w:sz w:val="32"/>
          <w:szCs w:val="32"/>
        </w:rPr>
        <w:t>乙醇汽油</w:t>
      </w:r>
      <w:r>
        <w:rPr>
          <w:rFonts w:hint="default" w:ascii="Times New Roman" w:hAnsi="Times New Roman" w:eastAsia="仿宋_GB2312" w:cs="Times New Roman"/>
          <w:color w:val="auto"/>
          <w:w w:val="100"/>
          <w:sz w:val="32"/>
          <w:szCs w:val="32"/>
          <w:lang w:val="en-US" w:eastAsia="zh-CN"/>
        </w:rPr>
        <w:t>10</w:t>
      </w:r>
      <w:r>
        <w:rPr>
          <w:rFonts w:hint="default" w:ascii="Times New Roman" w:hAnsi="Times New Roman" w:eastAsia="仿宋_GB2312" w:cs="Times New Roman"/>
          <w:color w:val="auto"/>
          <w:w w:val="100"/>
          <w:sz w:val="32"/>
          <w:szCs w:val="32"/>
        </w:rPr>
        <w:t>个批次，柴油</w:t>
      </w:r>
      <w:r>
        <w:rPr>
          <w:rFonts w:hint="default" w:ascii="Times New Roman" w:hAnsi="Times New Roman" w:eastAsia="仿宋_GB2312" w:cs="Times New Roman"/>
          <w:color w:val="auto"/>
          <w:w w:val="100"/>
          <w:sz w:val="32"/>
          <w:szCs w:val="32"/>
          <w:lang w:val="en-US" w:eastAsia="zh-CN"/>
        </w:rPr>
        <w:t>2</w:t>
      </w:r>
      <w:r>
        <w:rPr>
          <w:rFonts w:hint="default" w:ascii="Times New Roman" w:hAnsi="Times New Roman" w:eastAsia="仿宋_GB2312" w:cs="Times New Roman"/>
          <w:color w:val="auto"/>
          <w:w w:val="100"/>
          <w:sz w:val="32"/>
          <w:szCs w:val="32"/>
        </w:rPr>
        <w:t>个批次，车用尿素</w:t>
      </w:r>
      <w:r>
        <w:rPr>
          <w:rFonts w:hint="default" w:ascii="Times New Roman" w:hAnsi="Times New Roman" w:eastAsia="仿宋_GB2312" w:cs="Times New Roman"/>
          <w:color w:val="auto"/>
          <w:w w:val="100"/>
          <w:sz w:val="32"/>
          <w:szCs w:val="32"/>
          <w:lang w:val="en-US" w:eastAsia="zh-CN"/>
        </w:rPr>
        <w:t>1</w:t>
      </w:r>
      <w:r>
        <w:rPr>
          <w:rFonts w:hint="default" w:ascii="Times New Roman" w:hAnsi="Times New Roman" w:eastAsia="仿宋_GB2312" w:cs="Times New Roman"/>
          <w:color w:val="auto"/>
          <w:w w:val="100"/>
          <w:sz w:val="32"/>
          <w:szCs w:val="32"/>
        </w:rPr>
        <w:t>个批次不合格</w:t>
      </w:r>
      <w:r>
        <w:rPr>
          <w:rFonts w:hint="default" w:ascii="Times New Roman" w:hAnsi="Times New Roman" w:eastAsia="仿宋_GB2312" w:cs="Times New Roman"/>
          <w:color w:val="auto"/>
          <w:w w:val="100"/>
          <w:sz w:val="32"/>
          <w:szCs w:val="32"/>
          <w:lang w:eastAsia="zh-CN"/>
        </w:rPr>
        <w:t>）。抽检洁净型煤</w:t>
      </w:r>
      <w:r>
        <w:rPr>
          <w:rFonts w:hint="default" w:ascii="Times New Roman" w:hAnsi="Times New Roman" w:eastAsia="仿宋_GB2312" w:cs="Times New Roman"/>
          <w:color w:val="auto"/>
          <w:w w:val="100"/>
          <w:sz w:val="32"/>
          <w:szCs w:val="32"/>
          <w:lang w:val="en-US" w:eastAsia="zh-CN"/>
        </w:rPr>
        <w:t>70批次，其中不合格12个批次。根据上级文件要求和抽检报告结果，认真做好不合格商品的后续处理工作，向相关单位转办抽检不合格产品案件5个类别8个批次。</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120" w:line="600" w:lineRule="exact"/>
        <w:ind w:firstLine="643" w:firstLineChars="200"/>
        <w:jc w:val="both"/>
        <w:textAlignment w:val="auto"/>
        <w:rPr>
          <w:rFonts w:hint="default" w:ascii="Times New Roman" w:hAnsi="Times New Roman" w:eastAsia="仿宋_GB2312" w:cs="Times New Roman"/>
          <w:b w:val="0"/>
          <w:bCs w:val="0"/>
          <w:color w:val="auto"/>
          <w:spacing w:val="0"/>
          <w:w w:val="100"/>
          <w:sz w:val="32"/>
          <w:szCs w:val="32"/>
          <w:lang w:val="en-US" w:eastAsia="zh-CN"/>
        </w:rPr>
      </w:pPr>
      <w:r>
        <w:rPr>
          <w:rFonts w:hint="eastAsia" w:eastAsia="楷体_GB2312" w:cs="Times New Roman"/>
          <w:b/>
          <w:bCs/>
          <w:color w:val="auto"/>
          <w:w w:val="100"/>
          <w:sz w:val="32"/>
          <w:szCs w:val="32"/>
          <w:lang w:val="en-US" w:eastAsia="zh-CN"/>
        </w:rPr>
        <w:t>2</w:t>
      </w:r>
      <w:r>
        <w:rPr>
          <w:rFonts w:hint="default" w:ascii="Times New Roman" w:hAnsi="Times New Roman" w:eastAsia="楷体_GB2312" w:cs="Times New Roman"/>
          <w:b/>
          <w:bCs/>
          <w:color w:val="auto"/>
          <w:w w:val="100"/>
          <w:sz w:val="32"/>
          <w:szCs w:val="32"/>
          <w:lang w:val="en-US" w:eastAsia="zh-CN"/>
        </w:rPr>
        <w:t>持续深化商事制度改革，各类市场主体平稳增长。</w:t>
      </w:r>
      <w:r>
        <w:rPr>
          <w:rFonts w:hint="default" w:ascii="Times New Roman" w:hAnsi="Times New Roman" w:eastAsia="仿宋_GB2312" w:cs="Times New Roman"/>
          <w:b w:val="0"/>
          <w:bCs w:val="0"/>
          <w:color w:val="auto"/>
          <w:w w:val="100"/>
          <w:sz w:val="32"/>
          <w:szCs w:val="32"/>
          <w:lang w:val="en-US" w:eastAsia="zh-CN"/>
        </w:rPr>
        <w:t>全市实有各类市场主体突破17万户，达到173155户，同比增长10.33%，新增个体工商户</w:t>
      </w:r>
      <w:r>
        <w:rPr>
          <w:rFonts w:hint="default" w:ascii="Times New Roman" w:hAnsi="Times New Roman" w:eastAsia="仿宋_GB2312" w:cs="Times New Roman"/>
          <w:b w:val="0"/>
          <w:bCs w:val="0"/>
          <w:color w:val="auto"/>
          <w:spacing w:val="0"/>
          <w:w w:val="100"/>
          <w:sz w:val="32"/>
          <w:szCs w:val="32"/>
          <w:lang w:val="en-US" w:eastAsia="zh-CN"/>
        </w:rPr>
        <w:t>4530户，超额完成市政府下达的3000户目标，完成目标任务的151%。持续深化改革，不断降低市场准入门槛。深化企业名称自主申报改革，按照“非禁即入、便民高效、规范统一、宽进严管”的基本原则，全面实行企业名称自主申报，实现名称自主选择，切实便民利民。深化“证照分离”改革，将报关企业登记和食品经营许可（仅销售预包装食品）由审批改为备案，纳入“多证合一”，为各类市场主体平稳增长打下了坚实基础。</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43" w:firstLineChars="200"/>
        <w:jc w:val="both"/>
        <w:textAlignment w:val="auto"/>
        <w:rPr>
          <w:rFonts w:hint="default" w:ascii="Times New Roman" w:hAnsi="Times New Roman" w:eastAsia="仿宋_GB2312" w:cs="Times New Roman"/>
          <w:b w:val="0"/>
          <w:bCs w:val="0"/>
          <w:color w:val="auto"/>
          <w:w w:val="100"/>
          <w:sz w:val="32"/>
          <w:szCs w:val="32"/>
          <w:lang w:eastAsia="zh-CN"/>
        </w:rPr>
      </w:pPr>
      <w:r>
        <w:rPr>
          <w:rFonts w:hint="eastAsia" w:ascii="Times New Roman" w:hAnsi="Times New Roman" w:eastAsia="楷体_GB2312" w:cs="Times New Roman"/>
          <w:b/>
          <w:bCs/>
          <w:color w:val="auto"/>
          <w:spacing w:val="0"/>
          <w:w w:val="100"/>
          <w:sz w:val="32"/>
          <w:szCs w:val="32"/>
          <w:lang w:val="en-US" w:eastAsia="zh-CN"/>
        </w:rPr>
        <w:t>3</w:t>
      </w:r>
      <w:r>
        <w:rPr>
          <w:rFonts w:hint="default" w:ascii="Times New Roman" w:hAnsi="Times New Roman" w:eastAsia="楷体_GB2312" w:cs="Times New Roman"/>
          <w:b/>
          <w:bCs/>
          <w:color w:val="auto"/>
          <w:spacing w:val="0"/>
          <w:w w:val="100"/>
          <w:sz w:val="32"/>
          <w:szCs w:val="32"/>
          <w:lang w:val="en-US" w:eastAsia="zh-CN"/>
        </w:rPr>
        <w:t>强化特种设备监督检查，特种设备安全形势持续向好。</w:t>
      </w:r>
      <w:r>
        <w:rPr>
          <w:rFonts w:hint="default" w:ascii="Times New Roman" w:hAnsi="Times New Roman" w:eastAsia="仿宋_GB2312" w:cs="Times New Roman"/>
          <w:b w:val="0"/>
          <w:bCs w:val="0"/>
          <w:color w:val="auto"/>
          <w:spacing w:val="0"/>
          <w:w w:val="100"/>
          <w:sz w:val="32"/>
          <w:szCs w:val="32"/>
          <w:lang w:val="en-US" w:eastAsia="zh-CN"/>
        </w:rPr>
        <w:t>及时下发并严格执行2021年度特种设备日常监督检查计划，对15家特种设备重点生产（含制造、安装、改造、维修）单位进行日常监督检查，检查覆盖率达到100%。</w:t>
      </w:r>
      <w:r>
        <w:rPr>
          <w:rFonts w:hint="default" w:ascii="Times New Roman" w:hAnsi="Times New Roman" w:eastAsia="仿宋_GB2312" w:cs="Times New Roman"/>
          <w:b w:val="0"/>
          <w:bCs w:val="0"/>
          <w:color w:val="auto"/>
          <w:w w:val="100"/>
          <w:sz w:val="32"/>
          <w:szCs w:val="32"/>
        </w:rPr>
        <w:t>认真开展</w:t>
      </w:r>
      <w:r>
        <w:rPr>
          <w:rFonts w:hint="default" w:ascii="Times New Roman" w:hAnsi="Times New Roman" w:eastAsia="仿宋_GB2312" w:cs="Times New Roman"/>
          <w:b w:val="0"/>
          <w:bCs w:val="0"/>
          <w:color w:val="auto"/>
          <w:w w:val="100"/>
          <w:sz w:val="32"/>
          <w:szCs w:val="32"/>
          <w:lang w:val="en-US" w:eastAsia="zh-CN"/>
        </w:rPr>
        <w:t>大型游乐设施、起重机械、电梯鼓式制动器、液化石油气瓶等隐患排查治理工作</w:t>
      </w:r>
      <w:r>
        <w:rPr>
          <w:rFonts w:hint="default" w:ascii="Times New Roman" w:hAnsi="Times New Roman" w:eastAsia="仿宋_GB2312" w:cs="Times New Roman"/>
          <w:b w:val="0"/>
          <w:bCs w:val="0"/>
          <w:color w:val="auto"/>
          <w:w w:val="100"/>
          <w:sz w:val="32"/>
          <w:szCs w:val="32"/>
          <w:lang w:eastAsia="zh-CN"/>
        </w:rPr>
        <w:t>，</w:t>
      </w:r>
      <w:r>
        <w:rPr>
          <w:rFonts w:hint="default" w:ascii="Times New Roman" w:hAnsi="Times New Roman" w:eastAsia="仿宋_GB2312" w:cs="Times New Roman"/>
          <w:b w:val="0"/>
          <w:bCs w:val="0"/>
          <w:color w:val="auto"/>
          <w:w w:val="100"/>
          <w:sz w:val="32"/>
          <w:szCs w:val="32"/>
          <w:lang w:val="en-US" w:eastAsia="zh-CN"/>
        </w:rPr>
        <w:t>全年共出动执法人员2090人次，检查特种设备生产使用单位781家，检查设备数量6822台。</w:t>
      </w:r>
      <w:r>
        <w:rPr>
          <w:rFonts w:hint="default" w:ascii="Times New Roman" w:hAnsi="Times New Roman" w:eastAsia="仿宋_GB2312" w:cs="Times New Roman"/>
          <w:b w:val="0"/>
          <w:bCs w:val="0"/>
          <w:color w:val="auto"/>
          <w:w w:val="100"/>
          <w:sz w:val="32"/>
          <w:szCs w:val="32"/>
        </w:rPr>
        <w:t>开展</w:t>
      </w:r>
      <w:r>
        <w:rPr>
          <w:rFonts w:hint="default" w:ascii="Times New Roman" w:hAnsi="Times New Roman" w:eastAsia="仿宋_GB2312" w:cs="Times New Roman"/>
          <w:b w:val="0"/>
          <w:bCs w:val="0"/>
          <w:color w:val="auto"/>
          <w:w w:val="100"/>
          <w:sz w:val="32"/>
          <w:szCs w:val="32"/>
          <w:lang w:eastAsia="zh-CN"/>
        </w:rPr>
        <w:t>冬季</w:t>
      </w:r>
      <w:r>
        <w:rPr>
          <w:rFonts w:hint="default" w:ascii="Times New Roman" w:hAnsi="Times New Roman" w:eastAsia="仿宋_GB2312" w:cs="Times New Roman"/>
          <w:b w:val="0"/>
          <w:bCs w:val="0"/>
          <w:color w:val="auto"/>
          <w:w w:val="100"/>
          <w:sz w:val="32"/>
          <w:szCs w:val="32"/>
        </w:rPr>
        <w:t>锅炉</w:t>
      </w:r>
      <w:r>
        <w:rPr>
          <w:rFonts w:hint="default" w:ascii="Times New Roman" w:hAnsi="Times New Roman" w:eastAsia="仿宋_GB2312" w:cs="Times New Roman"/>
          <w:b w:val="0"/>
          <w:bCs w:val="0"/>
          <w:color w:val="auto"/>
          <w:w w:val="100"/>
          <w:sz w:val="32"/>
          <w:szCs w:val="32"/>
          <w:lang w:val="en-US" w:eastAsia="zh-CN"/>
        </w:rPr>
        <w:t>专项</w:t>
      </w:r>
      <w:r>
        <w:rPr>
          <w:rFonts w:hint="default" w:ascii="Times New Roman" w:hAnsi="Times New Roman" w:eastAsia="仿宋_GB2312" w:cs="Times New Roman"/>
          <w:b w:val="0"/>
          <w:bCs w:val="0"/>
          <w:color w:val="auto"/>
          <w:w w:val="100"/>
          <w:sz w:val="32"/>
          <w:szCs w:val="32"/>
        </w:rPr>
        <w:t>检查</w:t>
      </w:r>
      <w:r>
        <w:rPr>
          <w:rFonts w:hint="default" w:ascii="Times New Roman" w:hAnsi="Times New Roman" w:eastAsia="仿宋_GB2312" w:cs="Times New Roman"/>
          <w:b w:val="0"/>
          <w:bCs w:val="0"/>
          <w:color w:val="auto"/>
          <w:w w:val="100"/>
          <w:sz w:val="32"/>
          <w:szCs w:val="32"/>
          <w:lang w:eastAsia="zh-CN"/>
        </w:rPr>
        <w:t>，</w:t>
      </w:r>
      <w:r>
        <w:rPr>
          <w:rFonts w:hint="default" w:ascii="Times New Roman" w:hAnsi="Times New Roman" w:eastAsia="仿宋_GB2312" w:cs="Times New Roman"/>
          <w:b w:val="0"/>
          <w:bCs w:val="0"/>
          <w:color w:val="auto"/>
          <w:w w:val="100"/>
          <w:sz w:val="32"/>
          <w:szCs w:val="32"/>
          <w:lang w:val="en-US" w:eastAsia="zh-CN"/>
        </w:rPr>
        <w:t>组织</w:t>
      </w:r>
      <w:r>
        <w:rPr>
          <w:rFonts w:hint="default" w:ascii="Times New Roman" w:hAnsi="Times New Roman" w:eastAsia="仿宋_GB2312" w:cs="Times New Roman"/>
          <w:b w:val="0"/>
          <w:bCs w:val="0"/>
          <w:color w:val="auto"/>
          <w:w w:val="100"/>
          <w:sz w:val="32"/>
          <w:szCs w:val="32"/>
          <w:lang w:eastAsia="zh-CN"/>
        </w:rPr>
        <w:t>各县（市、分）局</w:t>
      </w:r>
      <w:r>
        <w:rPr>
          <w:rFonts w:hint="default" w:ascii="Times New Roman" w:hAnsi="Times New Roman" w:eastAsia="仿宋_GB2312" w:cs="Times New Roman"/>
          <w:b w:val="0"/>
          <w:bCs w:val="0"/>
          <w:color w:val="auto"/>
          <w:w w:val="100"/>
          <w:sz w:val="32"/>
          <w:szCs w:val="32"/>
          <w:lang w:val="en-US" w:eastAsia="zh-CN"/>
        </w:rPr>
        <w:t>对辖区在用锅炉使用单位的压力管道进行全面排查整治，</w:t>
      </w:r>
      <w:r>
        <w:rPr>
          <w:rFonts w:hint="default" w:ascii="Times New Roman" w:hAnsi="Times New Roman" w:eastAsia="仿宋_GB2312" w:cs="Times New Roman"/>
          <w:b w:val="0"/>
          <w:bCs w:val="0"/>
          <w:color w:val="auto"/>
          <w:w w:val="100"/>
          <w:sz w:val="32"/>
          <w:szCs w:val="32"/>
        </w:rPr>
        <w:t>确保冬季特种设备安全平稳运行</w:t>
      </w:r>
      <w:r>
        <w:rPr>
          <w:rFonts w:hint="default" w:ascii="Times New Roman" w:hAnsi="Times New Roman" w:eastAsia="仿宋_GB2312" w:cs="Times New Roman"/>
          <w:b w:val="0"/>
          <w:bCs w:val="0"/>
          <w:color w:val="auto"/>
          <w:w w:val="100"/>
          <w:sz w:val="32"/>
          <w:szCs w:val="32"/>
          <w:lang w:eastAsia="zh-CN"/>
        </w:rPr>
        <w:t>，</w:t>
      </w:r>
      <w:r>
        <w:rPr>
          <w:rFonts w:hint="default" w:ascii="Times New Roman" w:hAnsi="Times New Roman" w:eastAsia="仿宋_GB2312" w:cs="Times New Roman"/>
          <w:b w:val="0"/>
          <w:bCs w:val="0"/>
          <w:color w:val="auto"/>
          <w:w w:val="100"/>
          <w:sz w:val="32"/>
          <w:szCs w:val="32"/>
          <w:lang w:val="en-US" w:eastAsia="zh-CN"/>
        </w:rPr>
        <w:t>检查锅炉56台，检查换热站12个。</w:t>
      </w:r>
      <w:r>
        <w:rPr>
          <w:rFonts w:hint="default" w:ascii="Times New Roman" w:hAnsi="Times New Roman" w:eastAsia="仿宋_GB2312" w:cs="Times New Roman"/>
          <w:b w:val="0"/>
          <w:bCs w:val="0"/>
          <w:color w:val="auto"/>
          <w:w w:val="100"/>
          <w:sz w:val="32"/>
          <w:szCs w:val="32"/>
        </w:rPr>
        <w:t>全面推进“互联网+电梯”监管工作</w:t>
      </w:r>
      <w:r>
        <w:rPr>
          <w:rFonts w:hint="default" w:ascii="Times New Roman" w:hAnsi="Times New Roman" w:eastAsia="仿宋_GB2312" w:cs="Times New Roman"/>
          <w:b w:val="0"/>
          <w:bCs w:val="0"/>
          <w:color w:val="auto"/>
          <w:w w:val="100"/>
          <w:sz w:val="32"/>
          <w:szCs w:val="32"/>
          <w:lang w:eastAsia="zh-CN"/>
        </w:rPr>
        <w:t>，</w:t>
      </w:r>
      <w:r>
        <w:rPr>
          <w:rFonts w:hint="default" w:ascii="Times New Roman" w:hAnsi="Times New Roman" w:eastAsia="仿宋_GB2312" w:cs="Times New Roman"/>
          <w:b w:val="0"/>
          <w:bCs w:val="0"/>
          <w:color w:val="auto"/>
          <w:w w:val="100"/>
          <w:sz w:val="32"/>
          <w:szCs w:val="32"/>
        </w:rPr>
        <w:t>对纳入监管维保单位进行日常监督检查，检查覆盖率达100％。 96333 电梯应急处置平台完成7769部电梯的信息录入工作，全市共接96333应急热线740起，其中电梯困人电话225，解救被困人525人，困人处置成功率100%</w:t>
      </w:r>
      <w:r>
        <w:rPr>
          <w:rFonts w:hint="default" w:ascii="Times New Roman" w:hAnsi="Times New Roman" w:eastAsia="仿宋_GB2312" w:cs="Times New Roman"/>
          <w:b w:val="0"/>
          <w:bCs w:val="0"/>
          <w:color w:val="auto"/>
          <w:w w:val="1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120" w:line="600" w:lineRule="exact"/>
        <w:ind w:firstLine="643" w:firstLineChars="200"/>
        <w:jc w:val="both"/>
        <w:textAlignment w:val="auto"/>
        <w:rPr>
          <w:rFonts w:hint="default" w:ascii="Times New Roman" w:hAnsi="Times New Roman" w:eastAsia="仿宋_GB2312" w:cs="Times New Roman"/>
          <w:b w:val="0"/>
          <w:bCs w:val="0"/>
          <w:color w:val="auto"/>
          <w:spacing w:val="0"/>
          <w:w w:val="100"/>
          <w:sz w:val="32"/>
          <w:szCs w:val="32"/>
          <w:lang w:val="en-US" w:eastAsia="zh-CN"/>
        </w:rPr>
      </w:pPr>
      <w:r>
        <w:rPr>
          <w:rFonts w:hint="eastAsia" w:eastAsia="楷体_GB2312" w:cs="Times New Roman"/>
          <w:b/>
          <w:bCs/>
          <w:color w:val="auto"/>
          <w:spacing w:val="0"/>
          <w:w w:val="100"/>
          <w:sz w:val="32"/>
          <w:szCs w:val="32"/>
          <w:lang w:val="en-US" w:eastAsia="zh-CN"/>
        </w:rPr>
        <w:t>4</w:t>
      </w:r>
      <w:r>
        <w:rPr>
          <w:rFonts w:hint="default" w:ascii="Times New Roman" w:hAnsi="Times New Roman" w:eastAsia="楷体_GB2312" w:cs="Times New Roman"/>
          <w:b/>
          <w:bCs/>
          <w:color w:val="auto"/>
          <w:spacing w:val="0"/>
          <w:w w:val="100"/>
          <w:sz w:val="32"/>
          <w:szCs w:val="32"/>
          <w:lang w:val="en-US" w:eastAsia="zh-CN"/>
        </w:rPr>
        <w:t>全面加强食品、药品监管，人民群众舌尖上的安全切实守护。</w:t>
      </w:r>
      <w:r>
        <w:rPr>
          <w:rFonts w:hint="default" w:ascii="Times New Roman" w:hAnsi="Times New Roman" w:eastAsia="仿宋_GB2312" w:cs="Times New Roman"/>
          <w:b w:val="0"/>
          <w:bCs w:val="0"/>
          <w:color w:val="auto"/>
          <w:spacing w:val="0"/>
          <w:w w:val="100"/>
          <w:sz w:val="32"/>
          <w:szCs w:val="32"/>
          <w:lang w:val="en-US" w:eastAsia="zh-CN"/>
        </w:rPr>
        <w:t>牢固树立以人民为中心的发展思想，深入贯彻习近平总书记“四个最严”的重要指示精神，大力实施食品、药品安全战略，牢牢守住了不发生区域性、系统性食品、药品安全事故的底线，全市没有发生重大食品、药品安全事件。</w:t>
      </w:r>
      <w:r>
        <w:rPr>
          <w:rFonts w:hint="default" w:ascii="Times New Roman" w:hAnsi="Times New Roman" w:eastAsia="仿宋_GB2312" w:cs="Times New Roman"/>
          <w:b/>
          <w:bCs/>
          <w:color w:val="auto"/>
          <w:spacing w:val="0"/>
          <w:w w:val="100"/>
          <w:sz w:val="32"/>
          <w:szCs w:val="32"/>
          <w:lang w:val="en-US" w:eastAsia="zh-CN"/>
        </w:rPr>
        <w:t>一是</w:t>
      </w:r>
      <w:r>
        <w:rPr>
          <w:rFonts w:hint="default" w:ascii="Times New Roman" w:hAnsi="Times New Roman" w:eastAsia="仿宋_GB2312" w:cs="Times New Roman"/>
          <w:b w:val="0"/>
          <w:bCs w:val="0"/>
          <w:color w:val="auto"/>
          <w:spacing w:val="0"/>
          <w:w w:val="100"/>
          <w:sz w:val="32"/>
          <w:szCs w:val="32"/>
          <w:lang w:val="en-US" w:eastAsia="zh-CN"/>
        </w:rPr>
        <w:t>创新监管方式，成立食品安全专班和药品安全专班，整合人员力量，凝聚工作合力，有效破解食品、药品监管任务重、人员少、责任重、压力大的难题，全域创建成功食品安全县，全市749家药店、7家疾控机构、103个疫苗接种点监督检查全覆盖。</w:t>
      </w:r>
      <w:r>
        <w:rPr>
          <w:rFonts w:hint="default" w:ascii="Times New Roman" w:hAnsi="Times New Roman" w:eastAsia="仿宋_GB2312" w:cs="Times New Roman"/>
          <w:b/>
          <w:bCs/>
          <w:color w:val="auto"/>
          <w:spacing w:val="0"/>
          <w:w w:val="100"/>
          <w:sz w:val="32"/>
          <w:szCs w:val="32"/>
          <w:lang w:val="en-US" w:eastAsia="zh-CN"/>
        </w:rPr>
        <w:t>二是</w:t>
      </w:r>
      <w:r>
        <w:rPr>
          <w:rFonts w:hint="default" w:ascii="Times New Roman" w:hAnsi="Times New Roman" w:eastAsia="仿宋_GB2312" w:cs="Times New Roman"/>
          <w:b w:val="0"/>
          <w:bCs w:val="0"/>
          <w:color w:val="auto"/>
          <w:spacing w:val="0"/>
          <w:w w:val="100"/>
          <w:sz w:val="32"/>
          <w:szCs w:val="32"/>
          <w:lang w:val="en-US" w:eastAsia="zh-CN"/>
        </w:rPr>
        <w:t>加强重大活动餐饮食品安全监管。圆满完成了我市2021年“两会”、“党代会”、“一节一会”、“仰韶文化发现暨中国现代考古学诞生100周年纪念大会”等重大活动的食品安全保障工作，有效保障了参会人员和外来宾客的饮食安全。</w:t>
      </w:r>
      <w:r>
        <w:rPr>
          <w:rFonts w:hint="default" w:ascii="Times New Roman" w:hAnsi="Times New Roman" w:eastAsia="仿宋_GB2312" w:cs="Times New Roman"/>
          <w:b/>
          <w:bCs/>
          <w:color w:val="auto"/>
          <w:spacing w:val="0"/>
          <w:w w:val="100"/>
          <w:sz w:val="32"/>
          <w:szCs w:val="32"/>
          <w:lang w:val="en-US" w:eastAsia="zh-CN"/>
        </w:rPr>
        <w:t>三是</w:t>
      </w:r>
      <w:r>
        <w:rPr>
          <w:rFonts w:hint="default" w:ascii="Times New Roman" w:hAnsi="Times New Roman" w:eastAsia="仿宋_GB2312" w:cs="Times New Roman"/>
          <w:b w:val="0"/>
          <w:bCs w:val="0"/>
          <w:color w:val="auto"/>
          <w:spacing w:val="0"/>
          <w:w w:val="100"/>
          <w:sz w:val="32"/>
          <w:szCs w:val="32"/>
          <w:lang w:val="en-US" w:eastAsia="zh-CN"/>
        </w:rPr>
        <w:t>扎实开展医疗器械风险隐患排查治理工作。制定方案，聚焦重点产品、重点企业、重点环节，逐一梳理排查风险隐患，共排查经营企业1732家次，使用单位654家次，排查出风险隐患51个，已全部消除。</w:t>
      </w:r>
      <w:r>
        <w:rPr>
          <w:rFonts w:hint="default" w:ascii="Times New Roman" w:hAnsi="Times New Roman" w:eastAsia="仿宋_GB2312" w:cs="Times New Roman"/>
          <w:b/>
          <w:bCs/>
          <w:color w:val="auto"/>
          <w:spacing w:val="0"/>
          <w:w w:val="100"/>
          <w:sz w:val="32"/>
          <w:szCs w:val="32"/>
          <w:lang w:val="en-US" w:eastAsia="zh-CN"/>
        </w:rPr>
        <w:t>四是</w:t>
      </w:r>
      <w:r>
        <w:rPr>
          <w:rFonts w:hint="default" w:ascii="Times New Roman" w:hAnsi="Times New Roman" w:eastAsia="仿宋_GB2312" w:cs="Times New Roman"/>
          <w:b w:val="0"/>
          <w:bCs w:val="0"/>
          <w:color w:val="auto"/>
          <w:spacing w:val="0"/>
          <w:w w:val="100"/>
          <w:sz w:val="32"/>
          <w:szCs w:val="32"/>
          <w:lang w:val="en-US" w:eastAsia="zh-CN"/>
        </w:rPr>
        <w:t>认真开展食品安全抽检检测，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color w:val="auto"/>
          <w:w w:val="100"/>
          <w:sz w:val="32"/>
          <w:szCs w:val="32"/>
          <w:lang w:val="en-US" w:eastAsia="zh-CN"/>
        </w:rPr>
      </w:pPr>
      <w:r>
        <w:rPr>
          <w:rFonts w:hint="eastAsia" w:ascii="Times New Roman" w:hAnsi="Times New Roman" w:eastAsia="楷体_GB2312" w:cs="Times New Roman"/>
          <w:b/>
          <w:bCs/>
          <w:color w:val="auto"/>
          <w:spacing w:val="0"/>
          <w:w w:val="100"/>
          <w:sz w:val="32"/>
          <w:szCs w:val="32"/>
          <w:lang w:val="en-US" w:eastAsia="zh-CN"/>
        </w:rPr>
        <w:t>5</w:t>
      </w:r>
      <w:r>
        <w:rPr>
          <w:rFonts w:hint="default" w:ascii="Times New Roman" w:hAnsi="Times New Roman" w:eastAsia="楷体_GB2312" w:cs="Times New Roman"/>
          <w:b/>
          <w:bCs/>
          <w:color w:val="auto"/>
          <w:spacing w:val="0"/>
          <w:w w:val="100"/>
          <w:sz w:val="32"/>
          <w:szCs w:val="32"/>
          <w:lang w:val="en-US" w:eastAsia="zh-CN"/>
        </w:rPr>
        <w:t>畅通诉求渠，坚决维护消费者合法权益。</w:t>
      </w:r>
      <w:r>
        <w:rPr>
          <w:rFonts w:hint="default" w:ascii="Times New Roman" w:hAnsi="Times New Roman" w:eastAsia="仿宋_GB2312" w:cs="Times New Roman"/>
          <w:color w:val="auto"/>
          <w:w w:val="100"/>
          <w:sz w:val="32"/>
          <w:szCs w:val="32"/>
          <w:lang w:val="en-US" w:eastAsia="zh-CN"/>
        </w:rPr>
        <w:t>充分发挥“12315热线”和“全国12315平台”作用，及时接收处理消费者投诉举报，积极回应社会关切热点，继续实施12315“五进”工程，加强“一会两站”规范化建设。2021年共受理各类消费者诉求28044件，其中投诉6528件，举报1171件，咨询20329件，表扬16件，比去年同期增长13.43%，案件办结率达到98.26%。</w:t>
      </w:r>
    </w:p>
    <w:p>
      <w:pPr>
        <w:pStyle w:val="2"/>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textAlignment w:val="auto"/>
        <w:rPr>
          <w:rFonts w:hint="default" w:ascii="Times New Roman" w:hAnsi="Times New Roman" w:eastAsia="仿宋_GB2312" w:cs="Times New Roman"/>
          <w:color w:val="auto"/>
          <w:w w:val="100"/>
          <w:sz w:val="32"/>
          <w:szCs w:val="32"/>
          <w:lang w:val="en-US" w:eastAsia="zh-CN"/>
        </w:rPr>
      </w:pPr>
      <w:r>
        <w:rPr>
          <w:rFonts w:hint="eastAsia" w:eastAsia="楷体_GB2312" w:cs="Times New Roman"/>
          <w:b/>
          <w:bCs/>
          <w:color w:val="auto"/>
          <w:w w:val="100"/>
          <w:sz w:val="32"/>
          <w:szCs w:val="32"/>
          <w:lang w:val="en-US" w:eastAsia="zh-CN"/>
        </w:rPr>
        <w:t>6</w:t>
      </w:r>
      <w:r>
        <w:rPr>
          <w:rFonts w:hint="default" w:ascii="Times New Roman" w:hAnsi="Times New Roman" w:eastAsia="楷体_GB2312" w:cs="Times New Roman"/>
          <w:b/>
          <w:bCs/>
          <w:color w:val="auto"/>
          <w:w w:val="100"/>
          <w:sz w:val="32"/>
          <w:szCs w:val="32"/>
          <w:lang w:eastAsia="zh-CN"/>
        </w:rPr>
        <w:t>深入</w:t>
      </w:r>
      <w:r>
        <w:rPr>
          <w:rFonts w:hint="default" w:ascii="Times New Roman" w:hAnsi="Times New Roman" w:eastAsia="楷体_GB2312" w:cs="Times New Roman"/>
          <w:b/>
          <w:bCs/>
          <w:color w:val="auto"/>
          <w:w w:val="100"/>
          <w:sz w:val="32"/>
          <w:szCs w:val="32"/>
        </w:rPr>
        <w:t>开展</w:t>
      </w:r>
      <w:r>
        <w:rPr>
          <w:rFonts w:hint="default" w:ascii="Times New Roman" w:hAnsi="Times New Roman" w:eastAsia="楷体_GB2312" w:cs="Times New Roman"/>
          <w:b/>
          <w:bCs/>
          <w:color w:val="auto"/>
          <w:w w:val="100"/>
          <w:sz w:val="32"/>
          <w:szCs w:val="32"/>
          <w:lang w:eastAsia="zh-CN"/>
        </w:rPr>
        <w:t>违法广告</w:t>
      </w:r>
      <w:r>
        <w:rPr>
          <w:rFonts w:hint="default" w:ascii="Times New Roman" w:hAnsi="Times New Roman" w:eastAsia="楷体_GB2312" w:cs="Times New Roman"/>
          <w:b/>
          <w:bCs/>
          <w:color w:val="auto"/>
          <w:w w:val="100"/>
          <w:sz w:val="32"/>
          <w:szCs w:val="32"/>
        </w:rPr>
        <w:t>专项整治，</w:t>
      </w:r>
      <w:r>
        <w:rPr>
          <w:rFonts w:hint="default" w:ascii="Times New Roman" w:hAnsi="Times New Roman" w:eastAsia="楷体_GB2312" w:cs="Times New Roman"/>
          <w:b/>
          <w:bCs/>
          <w:color w:val="auto"/>
          <w:w w:val="100"/>
          <w:sz w:val="32"/>
          <w:szCs w:val="32"/>
          <w:lang w:eastAsia="zh-CN"/>
        </w:rPr>
        <w:t>维护广告市场秩序。</w:t>
      </w:r>
      <w:r>
        <w:rPr>
          <w:rFonts w:hint="default" w:ascii="Times New Roman" w:hAnsi="Times New Roman" w:eastAsia="仿宋_GB2312" w:cs="Times New Roman"/>
          <w:color w:val="auto"/>
          <w:w w:val="100"/>
          <w:sz w:val="32"/>
          <w:szCs w:val="32"/>
          <w:lang w:eastAsia="zh-CN"/>
        </w:rPr>
        <w:t>以“我为群众治广告”为目标，充分发挥广告监测平台作用，及时查看处理国家局、省局广告监测平台线索派发情况，组织第三方监测机构，</w:t>
      </w:r>
      <w:r>
        <w:rPr>
          <w:rFonts w:hint="default" w:ascii="Times New Roman" w:hAnsi="Times New Roman" w:eastAsia="仿宋_GB2312" w:cs="Times New Roman"/>
          <w:color w:val="auto"/>
          <w:w w:val="100"/>
          <w:sz w:val="32"/>
          <w:szCs w:val="32"/>
          <w:lang w:val="en-US" w:eastAsia="zh-CN"/>
        </w:rPr>
        <w:t>结合专项整治任务，对市县两级</w:t>
      </w:r>
      <w:r>
        <w:rPr>
          <w:rFonts w:hint="default" w:ascii="Times New Roman" w:hAnsi="Times New Roman" w:eastAsia="仿宋_GB2312" w:cs="Times New Roman"/>
          <w:color w:val="auto"/>
          <w:w w:val="100"/>
          <w:sz w:val="32"/>
          <w:szCs w:val="32"/>
          <w:lang w:eastAsia="zh-CN"/>
        </w:rPr>
        <w:t>传统媒体、互联网、户外媒体发布的医疗、美容、药品、保健食品广告进行重点监测，</w:t>
      </w:r>
      <w:r>
        <w:rPr>
          <w:rFonts w:hint="default" w:ascii="Times New Roman" w:hAnsi="Times New Roman" w:eastAsia="仿宋_GB2312" w:cs="Times New Roman"/>
          <w:color w:val="auto"/>
          <w:w w:val="100"/>
          <w:sz w:val="32"/>
          <w:szCs w:val="32"/>
          <w:lang w:val="en-US" w:eastAsia="zh-CN"/>
        </w:rPr>
        <w:t>共监测到三门峡市电视、广播、互联网、户外发布广告62502条次，其中：电视和广播发布广告9256条次，互联网广告50669条次，户外广告2577条次，派发涉嫌违法线索391条次，</w:t>
      </w:r>
      <w:r>
        <w:rPr>
          <w:rFonts w:hint="default" w:ascii="Times New Roman" w:hAnsi="Times New Roman" w:eastAsia="仿宋_GB2312" w:cs="Times New Roman"/>
          <w:color w:val="auto"/>
          <w:w w:val="100"/>
          <w:sz w:val="32"/>
          <w:szCs w:val="32"/>
          <w:lang w:eastAsia="zh-CN"/>
        </w:rPr>
        <w:t>及时发现相关违法线索，限时办理反馈，确保全市重点媒介广告违法率始终保持在较低区间。联合卫健部门开展医疗美容广告、非法应用人类辅助生殖技术广告整治，对照登记在册的</w:t>
      </w:r>
      <w:r>
        <w:rPr>
          <w:rFonts w:hint="default" w:ascii="Times New Roman" w:hAnsi="Times New Roman" w:eastAsia="仿宋_GB2312" w:cs="Times New Roman"/>
          <w:color w:val="auto"/>
          <w:w w:val="100"/>
          <w:sz w:val="32"/>
          <w:szCs w:val="32"/>
          <w:lang w:val="en-US" w:eastAsia="zh-CN"/>
        </w:rPr>
        <w:t>16家</w:t>
      </w:r>
      <w:r>
        <w:rPr>
          <w:rFonts w:hint="default" w:ascii="Times New Roman" w:hAnsi="Times New Roman" w:eastAsia="仿宋_GB2312" w:cs="Times New Roman"/>
          <w:color w:val="auto"/>
          <w:w w:val="100"/>
          <w:sz w:val="32"/>
          <w:szCs w:val="32"/>
          <w:lang w:eastAsia="zh-CN"/>
        </w:rPr>
        <w:t>医疗美容机构重点排查</w:t>
      </w:r>
      <w:r>
        <w:rPr>
          <w:rFonts w:hint="default" w:ascii="Times New Roman" w:hAnsi="Times New Roman" w:eastAsia="仿宋_GB2312" w:cs="Times New Roman"/>
          <w:color w:val="auto"/>
          <w:w w:val="100"/>
          <w:sz w:val="32"/>
          <w:szCs w:val="32"/>
          <w:lang w:val="en-US" w:eastAsia="zh-CN"/>
        </w:rPr>
        <w:t>，</w:t>
      </w:r>
      <w:r>
        <w:rPr>
          <w:rFonts w:hint="default" w:ascii="Times New Roman" w:hAnsi="Times New Roman" w:eastAsia="仿宋_GB2312" w:cs="Times New Roman"/>
          <w:color w:val="auto"/>
          <w:w w:val="100"/>
          <w:sz w:val="32"/>
          <w:szCs w:val="32"/>
          <w:lang w:eastAsia="zh-CN"/>
        </w:rPr>
        <w:t>组织开展户外、房地产、非法集资、疫情防控等其他领域广告专项整治工作，</w:t>
      </w:r>
      <w:r>
        <w:rPr>
          <w:rFonts w:hint="default" w:ascii="Times New Roman" w:hAnsi="Times New Roman" w:eastAsia="仿宋_GB2312" w:cs="Times New Roman"/>
          <w:color w:val="auto"/>
          <w:w w:val="100"/>
          <w:sz w:val="32"/>
          <w:szCs w:val="32"/>
          <w:lang w:val="en-US" w:eastAsia="zh-CN"/>
        </w:rPr>
        <w:t>依法查处民生领域虚假违法广告发布行为，立案查处各类违法广告和虚假宣传案件30起，结案28起，罚没款58.71万元。</w:t>
      </w:r>
    </w:p>
    <w:p>
      <w:pPr>
        <w:pStyle w:val="15"/>
        <w:keepNext w:val="0"/>
        <w:keepLines w:val="0"/>
        <w:pageBreakBefore w:val="0"/>
        <w:widowControl/>
        <w:suppressLineNumbers w:val="0"/>
        <w:kinsoku/>
        <w:wordWrap/>
        <w:overflowPunct/>
        <w:topLinePunct w:val="0"/>
        <w:autoSpaceDE/>
        <w:autoSpaceDN/>
        <w:bidi w:val="0"/>
        <w:adjustRightInd/>
        <w:snapToGrid w:val="0"/>
        <w:spacing w:beforeAutospacing="0" w:afterAutospacing="0" w:line="600" w:lineRule="exact"/>
        <w:ind w:firstLine="643" w:firstLineChars="200"/>
        <w:jc w:val="both"/>
        <w:textAlignment w:val="auto"/>
        <w:rPr>
          <w:rFonts w:hint="default" w:ascii="Times New Roman" w:hAnsi="Times New Roman" w:eastAsia="仿宋_GB2312" w:cs="Times New Roman"/>
          <w:color w:val="auto"/>
          <w:w w:val="100"/>
          <w:sz w:val="32"/>
          <w:szCs w:val="32"/>
          <w:u w:val="none"/>
          <w:lang w:val="en-US" w:eastAsia="zh-CN"/>
        </w:rPr>
      </w:pPr>
      <w:r>
        <w:rPr>
          <w:rFonts w:hint="eastAsia" w:ascii="Times New Roman" w:hAnsi="Times New Roman" w:eastAsia="楷体_GB2312" w:cs="Times New Roman"/>
          <w:b/>
          <w:bCs/>
          <w:color w:val="auto"/>
          <w:w w:val="100"/>
          <w:sz w:val="32"/>
          <w:szCs w:val="32"/>
          <w:lang w:val="en-US" w:eastAsia="zh-CN"/>
        </w:rPr>
        <w:t>7</w:t>
      </w:r>
      <w:r>
        <w:rPr>
          <w:rFonts w:hint="default" w:ascii="Times New Roman" w:hAnsi="Times New Roman" w:eastAsia="楷体_GB2312" w:cs="Times New Roman"/>
          <w:b/>
          <w:bCs/>
          <w:color w:val="auto"/>
          <w:w w:val="100"/>
          <w:sz w:val="32"/>
          <w:szCs w:val="32"/>
          <w:lang w:val="en-US" w:eastAsia="zh-CN"/>
        </w:rPr>
        <w:t>深入文明城市创建，积极推进文明经营活动。</w:t>
      </w:r>
      <w:r>
        <w:rPr>
          <w:rFonts w:hint="default" w:ascii="Times New Roman" w:hAnsi="Times New Roman" w:eastAsia="仿宋_GB2312" w:cs="Times New Roman"/>
          <w:color w:val="auto"/>
          <w:w w:val="100"/>
          <w:sz w:val="32"/>
          <w:szCs w:val="32"/>
        </w:rPr>
        <w:t>大力弘扬社会主义核心价值观，积极引导企业商户开展文明经营、诚信经营、守法经营，扎实开展文明经营企业、商户、市场、示范街创建活动</w:t>
      </w:r>
      <w:r>
        <w:rPr>
          <w:rFonts w:hint="default" w:ascii="Times New Roman" w:hAnsi="Times New Roman" w:eastAsia="仿宋_GB2312" w:cs="Times New Roman"/>
          <w:color w:val="auto"/>
          <w:w w:val="100"/>
          <w:sz w:val="32"/>
          <w:szCs w:val="32"/>
          <w:lang w:eastAsia="zh-CN"/>
        </w:rPr>
        <w:t>。</w:t>
      </w:r>
      <w:r>
        <w:rPr>
          <w:rFonts w:hint="default" w:ascii="Times New Roman" w:hAnsi="Times New Roman" w:eastAsia="仿宋_GB2312" w:cs="Times New Roman"/>
          <w:color w:val="auto"/>
          <w:w w:val="100"/>
          <w:sz w:val="32"/>
          <w:szCs w:val="32"/>
          <w:u w:val="none"/>
          <w:lang w:val="en-US" w:eastAsia="zh-CN"/>
        </w:rPr>
        <w:t>联合市文明办对在2020年度文明经营活动中成绩突出的5条示范街，9个示范市场，160家示范企业，185家</w:t>
      </w:r>
      <w:r>
        <w:rPr>
          <w:rFonts w:hint="default" w:ascii="Times New Roman" w:hAnsi="Times New Roman" w:eastAsia="仿宋_GB2312" w:cs="Times New Roman"/>
          <w:snapToGrid w:val="0"/>
          <w:color w:val="auto"/>
          <w:w w:val="100"/>
          <w:kern w:val="0"/>
          <w:sz w:val="32"/>
          <w:szCs w:val="32"/>
          <w:lang w:val="en-US" w:eastAsia="zh-CN"/>
        </w:rPr>
        <w:t>示范</w:t>
      </w:r>
      <w:r>
        <w:rPr>
          <w:rFonts w:hint="default" w:ascii="Times New Roman" w:hAnsi="Times New Roman" w:eastAsia="仿宋_GB2312" w:cs="Times New Roman"/>
          <w:snapToGrid w:val="0"/>
          <w:color w:val="auto"/>
          <w:w w:val="100"/>
          <w:kern w:val="0"/>
          <w:sz w:val="32"/>
          <w:szCs w:val="32"/>
        </w:rPr>
        <w:t>商户</w:t>
      </w:r>
      <w:r>
        <w:rPr>
          <w:rFonts w:hint="default" w:ascii="Times New Roman" w:hAnsi="Times New Roman" w:eastAsia="仿宋_GB2312" w:cs="Times New Roman"/>
          <w:color w:val="auto"/>
          <w:w w:val="100"/>
          <w:sz w:val="32"/>
          <w:szCs w:val="32"/>
          <w:u w:val="none"/>
          <w:lang w:val="en-US" w:eastAsia="zh-CN"/>
        </w:rPr>
        <w:t>进行命名，在全市诚信建设“红黑榜”新闻发布会上，进行发布。</w:t>
      </w:r>
      <w:r>
        <w:rPr>
          <w:rFonts w:hint="default" w:ascii="Times New Roman" w:hAnsi="Times New Roman" w:eastAsia="仿宋_GB2312" w:cs="Times New Roman"/>
          <w:b w:val="0"/>
          <w:bCs w:val="0"/>
          <w:color w:val="auto"/>
          <w:w w:val="100"/>
          <w:kern w:val="2"/>
          <w:sz w:val="32"/>
          <w:szCs w:val="32"/>
          <w:lang w:val="en-US" w:eastAsia="zh-CN"/>
        </w:rPr>
        <w:t>深入开展主题实践活动，弘扬文明诚信。</w:t>
      </w:r>
      <w:r>
        <w:rPr>
          <w:rFonts w:hint="default" w:ascii="Times New Roman" w:hAnsi="Times New Roman" w:eastAsia="仿宋_GB2312" w:cs="Times New Roman"/>
          <w:color w:val="auto"/>
          <w:w w:val="100"/>
          <w:sz w:val="32"/>
          <w:szCs w:val="32"/>
          <w:u w:val="none"/>
          <w:lang w:val="en-US" w:eastAsia="zh-CN"/>
        </w:rPr>
        <w:t>围绕“3·15”消费者权益日、全国食品安全宣传周、全国“质量月”等重要节点开展诚信教育活动。在农贸市场、商业示范街广范开展了星级商户季度评选和红黑榜公示活动。会同公安、消防救援等部门在全市开展创建安全设施完备、主体诚信自律、交易稳定有序、制度科学有效、群众放心满意的“平安市场”活动，取得良好成效。</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color w:val="auto"/>
          <w:w w:val="100"/>
          <w:kern w:val="2"/>
          <w:sz w:val="32"/>
          <w:szCs w:val="32"/>
          <w:lang w:val="en-US" w:eastAsia="zh-CN" w:bidi="ar-SA"/>
        </w:rPr>
      </w:pPr>
      <w:r>
        <w:rPr>
          <w:rFonts w:hint="eastAsia" w:ascii="Times New Roman" w:hAnsi="Times New Roman" w:eastAsia="楷体_GB2312" w:cs="Times New Roman"/>
          <w:b/>
          <w:bCs/>
          <w:color w:val="auto"/>
          <w:w w:val="100"/>
          <w:sz w:val="32"/>
          <w:szCs w:val="32"/>
          <w:lang w:val="en-US" w:eastAsia="zh-CN"/>
        </w:rPr>
        <w:t>8</w:t>
      </w:r>
      <w:r>
        <w:rPr>
          <w:rFonts w:hint="default" w:ascii="Times New Roman" w:hAnsi="Times New Roman" w:eastAsia="楷体_GB2312" w:cs="Times New Roman"/>
          <w:b/>
          <w:bCs/>
          <w:color w:val="auto"/>
          <w:w w:val="100"/>
          <w:sz w:val="32"/>
          <w:szCs w:val="32"/>
          <w:lang w:val="en-US" w:eastAsia="zh-CN"/>
        </w:rPr>
        <w:t>理顺办案机制，执法办案工作取得新突破。</w:t>
      </w:r>
      <w:r>
        <w:rPr>
          <w:rFonts w:hint="default" w:ascii="Times New Roman" w:hAnsi="Times New Roman" w:eastAsia="仿宋_GB2312" w:cs="Times New Roman"/>
          <w:b w:val="0"/>
          <w:bCs w:val="0"/>
          <w:color w:val="auto"/>
          <w:w w:val="100"/>
          <w:sz w:val="32"/>
          <w:szCs w:val="32"/>
          <w:lang w:val="en-US" w:eastAsia="zh-CN"/>
        </w:rPr>
        <w:t>统筹市场监管执法资源和执法力量，统一执法主体，减少执法层级，解决多头多层重复执法问题。</w:t>
      </w:r>
      <w:r>
        <w:rPr>
          <w:rFonts w:hint="default" w:ascii="Times New Roman" w:hAnsi="Times New Roman" w:eastAsia="仿宋_GB2312" w:cs="Times New Roman"/>
          <w:b/>
          <w:bCs/>
          <w:color w:val="auto"/>
          <w:w w:val="100"/>
          <w:sz w:val="32"/>
          <w:szCs w:val="32"/>
          <w:lang w:val="en-US" w:eastAsia="zh-CN"/>
        </w:rPr>
        <w:t>一是加强执法队伍建设。</w:t>
      </w:r>
      <w:r>
        <w:rPr>
          <w:rFonts w:hint="default" w:ascii="Times New Roman" w:hAnsi="Times New Roman" w:eastAsia="仿宋_GB2312" w:cs="Times New Roman"/>
          <w:color w:val="auto"/>
          <w:w w:val="100"/>
          <w:sz w:val="32"/>
          <w:szCs w:val="32"/>
          <w:lang w:val="en-US" w:eastAsia="zh-CN"/>
        </w:rPr>
        <w:t>整合原工商、质监、食药、物价、盐业等部门执法稽查职能，组建市场监管综合行政执法支队，以民生领域案件查办“铁拳”行动为抓手，集中力量开展执法办案，办理食品案件313件，其中一般程序案件312件，达到99.68%。</w:t>
      </w:r>
      <w:r>
        <w:rPr>
          <w:rFonts w:hint="default" w:ascii="Times New Roman" w:hAnsi="Times New Roman" w:eastAsia="仿宋_GB2312" w:cs="Times New Roman"/>
          <w:b/>
          <w:bCs/>
          <w:color w:val="auto"/>
          <w:w w:val="100"/>
          <w:sz w:val="32"/>
          <w:szCs w:val="32"/>
          <w:lang w:val="en-US" w:eastAsia="zh-CN"/>
        </w:rPr>
        <w:t>二是强化大案要案办理。</w:t>
      </w:r>
      <w:r>
        <w:rPr>
          <w:rFonts w:hint="default" w:ascii="Times New Roman" w:hAnsi="Times New Roman" w:eastAsia="仿宋_GB2312" w:cs="Times New Roman"/>
          <w:color w:val="auto"/>
          <w:w w:val="100"/>
          <w:sz w:val="32"/>
          <w:szCs w:val="32"/>
          <w:lang w:val="en-US" w:eastAsia="zh-CN"/>
        </w:rPr>
        <w:t>成功办理深圳某公司涉嫌在我市组织、策划传销案件，</w:t>
      </w:r>
      <w:r>
        <w:rPr>
          <w:rFonts w:hint="default" w:ascii="Times New Roman" w:hAnsi="Times New Roman" w:eastAsia="仿宋_GB2312" w:cs="Times New Roman"/>
          <w:color w:val="auto"/>
          <w:w w:val="100"/>
          <w:sz w:val="32"/>
          <w:szCs w:val="32"/>
        </w:rPr>
        <w:t>冻结该公司涉嫌用于传销活动资金1000</w:t>
      </w:r>
      <w:r>
        <w:rPr>
          <w:rFonts w:hint="default" w:ascii="Times New Roman" w:hAnsi="Times New Roman" w:eastAsia="仿宋_GB2312" w:cs="Times New Roman"/>
          <w:color w:val="auto"/>
          <w:w w:val="100"/>
          <w:sz w:val="32"/>
          <w:szCs w:val="32"/>
          <w:lang w:eastAsia="zh-CN"/>
        </w:rPr>
        <w:t>余</w:t>
      </w:r>
      <w:r>
        <w:rPr>
          <w:rFonts w:hint="default" w:ascii="Times New Roman" w:hAnsi="Times New Roman" w:eastAsia="仿宋_GB2312" w:cs="Times New Roman"/>
          <w:color w:val="auto"/>
          <w:w w:val="100"/>
          <w:sz w:val="32"/>
          <w:szCs w:val="32"/>
        </w:rPr>
        <w:t>万元</w:t>
      </w:r>
      <w:r>
        <w:rPr>
          <w:rFonts w:hint="default" w:ascii="Times New Roman" w:hAnsi="Times New Roman" w:eastAsia="仿宋_GB2312" w:cs="Times New Roman"/>
          <w:color w:val="auto"/>
          <w:w w:val="100"/>
          <w:sz w:val="32"/>
          <w:szCs w:val="32"/>
          <w:lang w:val="en-US" w:eastAsia="zh-CN"/>
        </w:rPr>
        <w:t>，合计罚没980余万元，</w:t>
      </w:r>
      <w:r>
        <w:rPr>
          <w:rFonts w:hint="default" w:ascii="Times New Roman" w:hAnsi="Times New Roman" w:eastAsia="仿宋_GB2312" w:cs="Times New Roman"/>
          <w:color w:val="auto"/>
          <w:w w:val="100"/>
          <w:sz w:val="32"/>
          <w:szCs w:val="32"/>
        </w:rPr>
        <w:t>创造了三门峡市市场监管系统</w:t>
      </w:r>
      <w:r>
        <w:rPr>
          <w:rFonts w:hint="default" w:ascii="Times New Roman" w:hAnsi="Times New Roman" w:eastAsia="仿宋_GB2312" w:cs="Times New Roman"/>
          <w:color w:val="auto"/>
          <w:w w:val="100"/>
          <w:sz w:val="32"/>
          <w:szCs w:val="32"/>
          <w:lang w:eastAsia="zh-CN"/>
        </w:rPr>
        <w:t>执法办案</w:t>
      </w:r>
      <w:r>
        <w:rPr>
          <w:rFonts w:hint="default" w:ascii="Times New Roman" w:hAnsi="Times New Roman" w:eastAsia="仿宋_GB2312" w:cs="Times New Roman"/>
          <w:color w:val="auto"/>
          <w:w w:val="100"/>
          <w:sz w:val="32"/>
          <w:szCs w:val="32"/>
        </w:rPr>
        <w:t>新纪录</w:t>
      </w:r>
      <w:r>
        <w:rPr>
          <w:rFonts w:hint="default" w:ascii="Times New Roman" w:hAnsi="Times New Roman" w:eastAsia="仿宋_GB2312" w:cs="Times New Roman"/>
          <w:color w:val="auto"/>
          <w:w w:val="100"/>
          <w:sz w:val="32"/>
          <w:szCs w:val="32"/>
          <w:lang w:eastAsia="zh-CN"/>
        </w:rPr>
        <w:t>，极大鼓舞了执法办案士气</w:t>
      </w:r>
      <w:r>
        <w:rPr>
          <w:rFonts w:hint="default" w:ascii="Times New Roman" w:hAnsi="Times New Roman" w:eastAsia="仿宋_GB2312" w:cs="Times New Roman"/>
          <w:color w:val="auto"/>
          <w:w w:val="100"/>
          <w:sz w:val="32"/>
          <w:szCs w:val="32"/>
        </w:rPr>
        <w:t>。</w:t>
      </w:r>
      <w:r>
        <w:rPr>
          <w:rFonts w:hint="default" w:ascii="Times New Roman" w:hAnsi="Times New Roman" w:eastAsia="仿宋_GB2312" w:cs="Times New Roman"/>
          <w:b/>
          <w:bCs/>
          <w:color w:val="auto"/>
          <w:w w:val="100"/>
          <w:sz w:val="32"/>
          <w:szCs w:val="32"/>
          <w:lang w:eastAsia="zh-CN"/>
        </w:rPr>
        <w:t>三是建立案件通报机制。</w:t>
      </w:r>
      <w:r>
        <w:rPr>
          <w:rFonts w:hint="default" w:ascii="Times New Roman" w:hAnsi="Times New Roman" w:eastAsia="仿宋_GB2312" w:cs="Times New Roman"/>
          <w:color w:val="auto"/>
          <w:w w:val="100"/>
          <w:kern w:val="2"/>
          <w:sz w:val="32"/>
          <w:szCs w:val="32"/>
          <w:lang w:val="en-US" w:eastAsia="zh-CN" w:bidi="ar"/>
        </w:rPr>
        <w:t>建立执法案件情况周通报机制，</w:t>
      </w:r>
      <w:r>
        <w:rPr>
          <w:rFonts w:hint="default" w:ascii="Times New Roman" w:hAnsi="Times New Roman" w:eastAsia="仿宋_GB2312" w:cs="Times New Roman"/>
          <w:color w:val="auto"/>
          <w:w w:val="100"/>
          <w:kern w:val="2"/>
          <w:sz w:val="32"/>
          <w:szCs w:val="32"/>
          <w:lang w:val="en-US" w:eastAsia="zh-CN" w:bidi="ar-SA"/>
        </w:rPr>
        <w:t>坚持问题导向、目标导向、结果导向，每周对全市执法办案排查线索、立案数量、结案数量、累计案件数量等情况进行通报，不断强化执法办案力度。开展专利查处专项行动，严厉打击侵犯知识产权违法行为，持续加大知识产权保护力度。</w:t>
      </w:r>
    </w:p>
    <w:p>
      <w:pPr>
        <w:pStyle w:val="2"/>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textAlignment w:val="auto"/>
        <w:rPr>
          <w:rFonts w:hint="default" w:ascii="Times New Roman" w:hAnsi="Times New Roman" w:eastAsia="仿宋_GB2312" w:cs="Times New Roman"/>
          <w:color w:val="auto"/>
          <w:w w:val="100"/>
          <w:sz w:val="32"/>
          <w:szCs w:val="32"/>
          <w:lang w:val="en-US" w:eastAsia="zh-CN"/>
        </w:rPr>
      </w:pPr>
      <w:r>
        <w:rPr>
          <w:rFonts w:hint="eastAsia" w:eastAsia="楷体_GB2312" w:cs="Times New Roman"/>
          <w:b/>
          <w:bCs/>
          <w:color w:val="auto"/>
          <w:w w:val="100"/>
          <w:kern w:val="2"/>
          <w:sz w:val="32"/>
          <w:szCs w:val="32"/>
          <w:lang w:val="en-US" w:eastAsia="zh-CN" w:bidi="ar-SA"/>
        </w:rPr>
        <w:t>9</w:t>
      </w:r>
      <w:r>
        <w:rPr>
          <w:rFonts w:hint="default" w:ascii="Times New Roman" w:hAnsi="Times New Roman" w:eastAsia="楷体_GB2312" w:cs="Times New Roman"/>
          <w:b/>
          <w:bCs/>
          <w:color w:val="auto"/>
          <w:w w:val="100"/>
          <w:kern w:val="2"/>
          <w:sz w:val="32"/>
          <w:szCs w:val="32"/>
          <w:lang w:val="en-US" w:eastAsia="zh-CN" w:bidi="ar-SA"/>
        </w:rPr>
        <w:t>优化企业服务，打造良好的营商环境。</w:t>
      </w:r>
      <w:r>
        <w:rPr>
          <w:rFonts w:hint="default" w:ascii="Times New Roman" w:hAnsi="Times New Roman" w:eastAsia="仿宋_GB2312" w:cs="Times New Roman"/>
          <w:b w:val="0"/>
          <w:bCs w:val="0"/>
          <w:color w:val="auto"/>
          <w:w w:val="100"/>
          <w:sz w:val="32"/>
          <w:szCs w:val="32"/>
          <w:lang w:eastAsia="zh-CN"/>
        </w:rPr>
        <w:t>坚持“项目为王”、上门服务、容缺候补，推行企业开办“</w:t>
      </w:r>
      <w:r>
        <w:rPr>
          <w:rFonts w:hint="default" w:ascii="Times New Roman" w:hAnsi="Times New Roman" w:eastAsia="仿宋_GB2312" w:cs="Times New Roman"/>
          <w:b w:val="0"/>
          <w:bCs w:val="0"/>
          <w:color w:val="auto"/>
          <w:w w:val="100"/>
          <w:sz w:val="32"/>
          <w:szCs w:val="32"/>
          <w:lang w:val="en-US" w:eastAsia="zh-CN"/>
        </w:rPr>
        <w:t>1110</w:t>
      </w:r>
      <w:r>
        <w:rPr>
          <w:rFonts w:hint="default" w:ascii="Times New Roman" w:hAnsi="Times New Roman" w:eastAsia="仿宋_GB2312" w:cs="Times New Roman"/>
          <w:b w:val="0"/>
          <w:bCs w:val="0"/>
          <w:color w:val="auto"/>
          <w:w w:val="100"/>
          <w:sz w:val="32"/>
          <w:szCs w:val="32"/>
          <w:lang w:eastAsia="zh-CN"/>
        </w:rPr>
        <w:t>”机制，</w:t>
      </w:r>
      <w:r>
        <w:rPr>
          <w:rFonts w:hint="default" w:ascii="Times New Roman" w:hAnsi="Times New Roman" w:eastAsia="仿宋_GB2312" w:cs="Times New Roman"/>
          <w:color w:val="auto"/>
          <w:w w:val="100"/>
          <w:sz w:val="32"/>
          <w:szCs w:val="32"/>
          <w:lang w:eastAsia="zh-CN"/>
        </w:rPr>
        <w:t>全力服务“三个一批”重大项目建设；主动牵头市场监管指标评价，扎实做好自身指标提升，确保营商环境评价提档升位；改进行政审批服务，</w:t>
      </w:r>
      <w:r>
        <w:rPr>
          <w:rFonts w:hint="default" w:ascii="Times New Roman" w:hAnsi="Times New Roman" w:eastAsia="仿宋_GB2312" w:cs="Times New Roman"/>
          <w:b w:val="0"/>
          <w:bCs w:val="0"/>
          <w:color w:val="auto"/>
          <w:w w:val="100"/>
          <w:sz w:val="32"/>
          <w:szCs w:val="32"/>
        </w:rPr>
        <w:t>推进企业开办</w:t>
      </w:r>
      <w:r>
        <w:rPr>
          <w:rFonts w:hint="default" w:ascii="Times New Roman" w:hAnsi="Times New Roman" w:eastAsia="仿宋_GB2312" w:cs="Times New Roman"/>
          <w:b w:val="0"/>
          <w:bCs w:val="0"/>
          <w:color w:val="auto"/>
          <w:w w:val="100"/>
          <w:sz w:val="32"/>
          <w:szCs w:val="32"/>
          <w:lang w:eastAsia="zh-CN"/>
        </w:rPr>
        <w:t>线上</w:t>
      </w:r>
      <w:r>
        <w:rPr>
          <w:rFonts w:hint="default" w:ascii="Times New Roman" w:hAnsi="Times New Roman" w:eastAsia="仿宋_GB2312" w:cs="Times New Roman"/>
          <w:b w:val="0"/>
          <w:bCs w:val="0"/>
          <w:color w:val="auto"/>
          <w:w w:val="100"/>
          <w:sz w:val="32"/>
          <w:szCs w:val="32"/>
        </w:rPr>
        <w:t>“一网通办”</w:t>
      </w:r>
      <w:r>
        <w:rPr>
          <w:rFonts w:hint="default" w:ascii="Times New Roman" w:hAnsi="Times New Roman" w:eastAsia="仿宋_GB2312" w:cs="Times New Roman"/>
          <w:b w:val="0"/>
          <w:bCs w:val="0"/>
          <w:color w:val="auto"/>
          <w:w w:val="100"/>
          <w:sz w:val="32"/>
          <w:szCs w:val="32"/>
          <w:lang w:eastAsia="zh-CN"/>
        </w:rPr>
        <w:t>、线下</w:t>
      </w:r>
      <w:r>
        <w:rPr>
          <w:rFonts w:hint="default" w:ascii="Times New Roman" w:hAnsi="Times New Roman" w:eastAsia="仿宋_GB2312" w:cs="Times New Roman"/>
          <w:b w:val="0"/>
          <w:bCs w:val="0"/>
          <w:color w:val="auto"/>
          <w:w w:val="100"/>
          <w:sz w:val="32"/>
          <w:szCs w:val="32"/>
        </w:rPr>
        <w:t>“ 一窗通办”</w:t>
      </w:r>
      <w:r>
        <w:rPr>
          <w:rFonts w:hint="default" w:ascii="Times New Roman" w:hAnsi="Times New Roman" w:eastAsia="仿宋_GB2312" w:cs="Times New Roman"/>
          <w:b w:val="0"/>
          <w:bCs w:val="0"/>
          <w:color w:val="auto"/>
          <w:w w:val="100"/>
          <w:sz w:val="32"/>
          <w:szCs w:val="32"/>
          <w:lang w:eastAsia="zh-CN"/>
        </w:rPr>
        <w:t>，变“一事跑多窗”为“一窗办多事”，推动全市</w:t>
      </w:r>
      <w:r>
        <w:rPr>
          <w:rFonts w:hint="default" w:ascii="Times New Roman" w:hAnsi="Times New Roman" w:eastAsia="仿宋_GB2312" w:cs="Times New Roman"/>
          <w:color w:val="auto"/>
          <w:w w:val="100"/>
          <w:sz w:val="32"/>
          <w:szCs w:val="32"/>
        </w:rPr>
        <w:t>市场主体</w:t>
      </w:r>
      <w:r>
        <w:rPr>
          <w:rFonts w:hint="default" w:ascii="Times New Roman" w:hAnsi="Times New Roman" w:eastAsia="仿宋_GB2312" w:cs="Times New Roman"/>
          <w:color w:val="auto"/>
          <w:w w:val="100"/>
          <w:sz w:val="32"/>
          <w:szCs w:val="32"/>
          <w:lang w:eastAsia="zh-CN"/>
        </w:rPr>
        <w:t>达到</w:t>
      </w:r>
      <w:r>
        <w:rPr>
          <w:rFonts w:hint="default" w:ascii="Times New Roman" w:hAnsi="Times New Roman" w:eastAsia="仿宋_GB2312" w:cs="Times New Roman"/>
          <w:color w:val="auto"/>
          <w:w w:val="100"/>
          <w:sz w:val="32"/>
          <w:szCs w:val="32"/>
        </w:rPr>
        <w:t>17</w:t>
      </w:r>
      <w:r>
        <w:rPr>
          <w:rFonts w:hint="default" w:ascii="Times New Roman" w:hAnsi="Times New Roman" w:eastAsia="仿宋_GB2312" w:cs="Times New Roman"/>
          <w:color w:val="auto"/>
          <w:w w:val="100"/>
          <w:sz w:val="32"/>
          <w:szCs w:val="32"/>
          <w:lang w:val="en-US" w:eastAsia="zh-CN"/>
        </w:rPr>
        <w:t>.</w:t>
      </w:r>
      <w:r>
        <w:rPr>
          <w:rFonts w:hint="default" w:ascii="Times New Roman" w:hAnsi="Times New Roman" w:eastAsia="仿宋_GB2312" w:cs="Times New Roman"/>
          <w:color w:val="auto"/>
          <w:w w:val="100"/>
          <w:sz w:val="32"/>
          <w:szCs w:val="32"/>
        </w:rPr>
        <w:t>3</w:t>
      </w:r>
      <w:r>
        <w:rPr>
          <w:rFonts w:hint="default" w:ascii="Times New Roman" w:hAnsi="Times New Roman" w:eastAsia="仿宋_GB2312" w:cs="Times New Roman"/>
          <w:color w:val="auto"/>
          <w:w w:val="100"/>
          <w:sz w:val="32"/>
          <w:szCs w:val="32"/>
          <w:lang w:eastAsia="zh-CN"/>
        </w:rPr>
        <w:t>万</w:t>
      </w:r>
      <w:r>
        <w:rPr>
          <w:rFonts w:hint="default" w:ascii="Times New Roman" w:hAnsi="Times New Roman" w:eastAsia="仿宋_GB2312" w:cs="Times New Roman"/>
          <w:color w:val="auto"/>
          <w:w w:val="100"/>
          <w:sz w:val="32"/>
          <w:szCs w:val="32"/>
        </w:rPr>
        <w:t>户，</w:t>
      </w:r>
      <w:r>
        <w:rPr>
          <w:rFonts w:hint="default" w:ascii="Times New Roman" w:hAnsi="Times New Roman" w:eastAsia="仿宋_GB2312" w:cs="Times New Roman"/>
          <w:color w:val="auto"/>
          <w:w w:val="100"/>
          <w:sz w:val="32"/>
          <w:szCs w:val="32"/>
          <w:lang w:eastAsia="zh-CN"/>
        </w:rPr>
        <w:t>较年初净</w:t>
      </w:r>
      <w:r>
        <w:rPr>
          <w:rFonts w:hint="default" w:ascii="Times New Roman" w:hAnsi="Times New Roman" w:eastAsia="仿宋_GB2312" w:cs="Times New Roman"/>
          <w:color w:val="auto"/>
          <w:w w:val="100"/>
          <w:sz w:val="32"/>
          <w:szCs w:val="32"/>
        </w:rPr>
        <w:t>增10.33%。</w:t>
      </w:r>
      <w:r>
        <w:rPr>
          <w:rFonts w:hint="default" w:ascii="Times New Roman" w:hAnsi="Times New Roman" w:eastAsia="仿宋_GB2312" w:cs="Times New Roman"/>
          <w:b w:val="0"/>
          <w:bCs w:val="0"/>
          <w:color w:val="auto"/>
          <w:w w:val="100"/>
          <w:sz w:val="32"/>
          <w:szCs w:val="32"/>
          <w:lang w:eastAsia="zh-CN"/>
        </w:rPr>
        <w:t>推进“万人助万企”活动，助企纾困解难，紧扣</w:t>
      </w:r>
      <w:r>
        <w:rPr>
          <w:rFonts w:hint="default" w:ascii="Times New Roman" w:hAnsi="Times New Roman" w:eastAsia="仿宋_GB2312" w:cs="Times New Roman"/>
          <w:color w:val="auto"/>
          <w:w w:val="100"/>
          <w:sz w:val="32"/>
          <w:szCs w:val="32"/>
        </w:rPr>
        <w:t>“万人助万企”活动</w:t>
      </w:r>
      <w:r>
        <w:rPr>
          <w:rFonts w:hint="default" w:ascii="Times New Roman" w:hAnsi="Times New Roman" w:eastAsia="仿宋_GB2312" w:cs="Times New Roman"/>
          <w:color w:val="auto"/>
          <w:w w:val="100"/>
          <w:sz w:val="32"/>
          <w:szCs w:val="32"/>
          <w:lang w:eastAsia="zh-CN"/>
        </w:rPr>
        <w:t>政务服务组和助企工作组两项职责，班子成员带领8个小组40名干部，围绕市委“十大战略”、“两项工程”部署，</w:t>
      </w:r>
      <w:r>
        <w:rPr>
          <w:rFonts w:hint="default" w:ascii="Times New Roman" w:hAnsi="Times New Roman" w:eastAsia="仿宋_GB2312" w:cs="Times New Roman"/>
          <w:color w:val="auto"/>
          <w:w w:val="100"/>
          <w:sz w:val="32"/>
          <w:szCs w:val="32"/>
        </w:rPr>
        <w:t>深入400余家企业梳理问题85个，落实“13710”工作机制解决问题72个，</w:t>
      </w:r>
      <w:r>
        <w:rPr>
          <w:rFonts w:hint="default" w:ascii="Times New Roman" w:hAnsi="Times New Roman" w:eastAsia="仿宋_GB2312" w:cs="Times New Roman"/>
          <w:color w:val="auto"/>
          <w:w w:val="100"/>
          <w:sz w:val="32"/>
          <w:szCs w:val="32"/>
          <w:lang w:val="en-US" w:eastAsia="zh-CN"/>
        </w:rPr>
        <w:t>9家</w:t>
      </w:r>
      <w:r>
        <w:rPr>
          <w:rFonts w:hint="default" w:ascii="Times New Roman" w:hAnsi="Times New Roman" w:eastAsia="仿宋_GB2312" w:cs="Times New Roman"/>
          <w:color w:val="auto"/>
          <w:w w:val="100"/>
          <w:sz w:val="32"/>
          <w:szCs w:val="32"/>
        </w:rPr>
        <w:t>企业送来锦旗和</w:t>
      </w:r>
      <w:r>
        <w:rPr>
          <w:rFonts w:hint="default" w:ascii="Times New Roman" w:hAnsi="Times New Roman" w:eastAsia="仿宋_GB2312" w:cs="Times New Roman"/>
          <w:color w:val="auto"/>
          <w:w w:val="100"/>
          <w:sz w:val="32"/>
          <w:szCs w:val="32"/>
          <w:lang w:eastAsia="zh-CN"/>
        </w:rPr>
        <w:t>感谢</w:t>
      </w:r>
      <w:r>
        <w:rPr>
          <w:rFonts w:hint="default" w:ascii="Times New Roman" w:hAnsi="Times New Roman" w:eastAsia="仿宋_GB2312" w:cs="Times New Roman"/>
          <w:color w:val="auto"/>
          <w:w w:val="100"/>
          <w:sz w:val="32"/>
          <w:szCs w:val="32"/>
        </w:rPr>
        <w:t>信。</w:t>
      </w:r>
      <w:r>
        <w:rPr>
          <w:rFonts w:hint="default" w:ascii="Times New Roman" w:hAnsi="Times New Roman" w:eastAsia="仿宋_GB2312" w:cs="Times New Roman"/>
          <w:color w:val="auto"/>
          <w:w w:val="100"/>
          <w:sz w:val="32"/>
          <w:szCs w:val="32"/>
          <w:lang w:eastAsia="zh-CN"/>
        </w:rPr>
        <w:t>提请市委市政府印发加强知识产权保护《若干措施》，推动晋陕豫三省四市签署《跨地区知识产权执法维权保护合作协议》，全年专利授权1804件，较年初增长49.1%，有效发明专利456件，增长10.7%，发挥三门峡商标受理窗口作用，全市注册商标达到10923件，增长24%，全市知识产权创造和运用水平进一步提升。加强知识产权培训和宣传力度，与河南省广播电视台联合举办品牌企业交流会，</w:t>
      </w:r>
      <w:r>
        <w:rPr>
          <w:rFonts w:hint="default" w:ascii="Times New Roman" w:hAnsi="Times New Roman" w:eastAsia="仿宋_GB2312" w:cs="Times New Roman"/>
          <w:color w:val="auto"/>
          <w:w w:val="100"/>
          <w:sz w:val="32"/>
          <w:szCs w:val="32"/>
        </w:rPr>
        <w:t>在网易、新浪、百度等</w:t>
      </w:r>
      <w:r>
        <w:rPr>
          <w:rFonts w:hint="default" w:ascii="Times New Roman" w:hAnsi="Times New Roman" w:eastAsia="仿宋_GB2312" w:cs="Times New Roman"/>
          <w:color w:val="auto"/>
          <w:w w:val="100"/>
          <w:sz w:val="32"/>
          <w:szCs w:val="32"/>
          <w:lang w:val="en-US" w:eastAsia="zh-CN"/>
        </w:rPr>
        <w:t>20</w:t>
      </w:r>
      <w:r>
        <w:rPr>
          <w:rFonts w:hint="default" w:ascii="Times New Roman" w:hAnsi="Times New Roman" w:eastAsia="仿宋_GB2312" w:cs="Times New Roman"/>
          <w:color w:val="auto"/>
          <w:w w:val="100"/>
          <w:sz w:val="32"/>
          <w:szCs w:val="32"/>
        </w:rPr>
        <w:t>余家新闻媒体</w:t>
      </w:r>
      <w:r>
        <w:rPr>
          <w:rFonts w:hint="default" w:ascii="Times New Roman" w:hAnsi="Times New Roman" w:eastAsia="仿宋_GB2312" w:cs="Times New Roman"/>
          <w:color w:val="auto"/>
          <w:w w:val="100"/>
          <w:sz w:val="32"/>
          <w:szCs w:val="32"/>
          <w:lang w:eastAsia="zh-CN"/>
        </w:rPr>
        <w:t>免费为我市企业宣传</w:t>
      </w:r>
      <w:r>
        <w:rPr>
          <w:rFonts w:hint="default" w:ascii="Times New Roman" w:hAnsi="Times New Roman" w:eastAsia="仿宋_GB2312" w:cs="Times New Roman"/>
          <w:color w:val="auto"/>
          <w:w w:val="100"/>
          <w:sz w:val="32"/>
          <w:szCs w:val="32"/>
          <w:lang w:val="en-US" w:eastAsia="zh-CN"/>
        </w:rPr>
        <w:t>200</w:t>
      </w:r>
      <w:r>
        <w:rPr>
          <w:rFonts w:hint="default" w:ascii="Times New Roman" w:hAnsi="Times New Roman" w:eastAsia="仿宋_GB2312" w:cs="Times New Roman"/>
          <w:color w:val="auto"/>
          <w:w w:val="100"/>
          <w:sz w:val="32"/>
          <w:szCs w:val="32"/>
        </w:rPr>
        <w:t>余</w:t>
      </w:r>
      <w:r>
        <w:rPr>
          <w:rFonts w:hint="default" w:ascii="Times New Roman" w:hAnsi="Times New Roman" w:eastAsia="仿宋_GB2312" w:cs="Times New Roman"/>
          <w:color w:val="auto"/>
          <w:w w:val="100"/>
          <w:sz w:val="32"/>
          <w:szCs w:val="32"/>
          <w:lang w:eastAsia="zh-CN"/>
        </w:rPr>
        <w:t>期。</w:t>
      </w:r>
      <w:r>
        <w:rPr>
          <w:rFonts w:hint="eastAsia" w:eastAsia="仿宋_GB2312" w:cs="Times New Roman"/>
          <w:color w:val="auto"/>
          <w:w w:val="100"/>
          <w:sz w:val="32"/>
          <w:szCs w:val="32"/>
          <w:lang w:val="en-US" w:eastAsia="zh-CN"/>
        </w:rPr>
        <w:t xml:space="preserve"> </w:t>
      </w:r>
      <w:bookmarkStart w:id="207" w:name="_GoBack"/>
      <w:bookmarkEnd w:id="207"/>
    </w:p>
    <w:p>
      <w:pPr>
        <w:pStyle w:val="7"/>
        <w:numPr>
          <w:ilvl w:val="0"/>
          <w:numId w:val="1"/>
        </w:numPr>
        <w:spacing w:before="0" w:after="0" w:line="360" w:lineRule="auto"/>
        <w:rPr>
          <w:rFonts w:ascii="黑体" w:hAnsi="黑体" w:eastAsia="黑体" w:cs="黑体"/>
          <w:sz w:val="32"/>
          <w:szCs w:val="32"/>
        </w:rPr>
      </w:pPr>
      <w:bookmarkStart w:id="116" w:name="_Toc74919129"/>
      <w:bookmarkStart w:id="117" w:name="_Toc10732"/>
      <w:bookmarkStart w:id="118" w:name="_Toc16591"/>
      <w:bookmarkStart w:id="119" w:name="_Toc2839"/>
      <w:bookmarkStart w:id="120" w:name="_Toc30680"/>
      <w:bookmarkStart w:id="121" w:name="_Toc9029"/>
      <w:r>
        <w:rPr>
          <w:rFonts w:ascii="黑体" w:hAnsi="黑体" w:eastAsia="黑体" w:cs="黑体"/>
          <w:sz w:val="32"/>
          <w:szCs w:val="32"/>
        </w:rPr>
        <w:t>发现的主要问题和改进措施</w:t>
      </w:r>
      <w:bookmarkEnd w:id="116"/>
      <w:bookmarkEnd w:id="117"/>
      <w:bookmarkEnd w:id="118"/>
      <w:bookmarkEnd w:id="119"/>
      <w:bookmarkEnd w:id="120"/>
      <w:bookmarkEnd w:id="121"/>
    </w:p>
    <w:p>
      <w:pPr>
        <w:shd w:val="clear" w:color="auto" w:fill="FFFFFF"/>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通过本次绩效自评</w:t>
      </w:r>
      <w:r>
        <w:rPr>
          <w:rFonts w:hint="eastAsia" w:ascii="仿宋_GB2312" w:eastAsia="仿宋_GB2312" w:cs="仿宋_GB2312"/>
          <w:sz w:val="32"/>
          <w:szCs w:val="32"/>
        </w:rPr>
        <w:t>，我局</w:t>
      </w:r>
      <w:r>
        <w:rPr>
          <w:rFonts w:ascii="仿宋_GB2312" w:eastAsia="仿宋_GB2312" w:cs="仿宋_GB2312"/>
          <w:sz w:val="32"/>
          <w:szCs w:val="32"/>
        </w:rPr>
        <w:t>在预算支出管理方面还存在以下几方面问题：</w:t>
      </w:r>
    </w:p>
    <w:p>
      <w:pPr>
        <w:pStyle w:val="8"/>
        <w:adjustRightInd/>
        <w:snapToGrid/>
        <w:spacing w:before="0" w:after="0"/>
        <w:rPr>
          <w:rFonts w:ascii="黑体" w:hAnsi="黑体" w:eastAsia="黑体" w:cs="黑体"/>
          <w:sz w:val="30"/>
          <w:szCs w:val="30"/>
        </w:rPr>
      </w:pPr>
      <w:bookmarkStart w:id="122" w:name="_Toc21159"/>
      <w:bookmarkStart w:id="123" w:name="_Toc28501"/>
      <w:bookmarkStart w:id="124" w:name="_Toc20446"/>
      <w:bookmarkStart w:id="125" w:name="_Toc25637"/>
      <w:bookmarkStart w:id="126" w:name="_Toc74919130"/>
      <w:bookmarkStart w:id="127" w:name="_Toc12532"/>
      <w:r>
        <w:rPr>
          <w:rFonts w:hint="eastAsia" w:ascii="黑体" w:hAnsi="黑体" w:eastAsia="黑体" w:cs="黑体"/>
          <w:sz w:val="30"/>
          <w:szCs w:val="30"/>
        </w:rPr>
        <w:t>（一）</w:t>
      </w:r>
      <w:r>
        <w:rPr>
          <w:rFonts w:ascii="黑体" w:hAnsi="黑体" w:eastAsia="黑体" w:cs="黑体"/>
          <w:sz w:val="30"/>
          <w:szCs w:val="30"/>
        </w:rPr>
        <w:t>发现的主要问题</w:t>
      </w:r>
      <w:bookmarkEnd w:id="122"/>
      <w:bookmarkEnd w:id="123"/>
      <w:bookmarkEnd w:id="124"/>
      <w:bookmarkEnd w:id="125"/>
      <w:bookmarkEnd w:id="126"/>
      <w:bookmarkEnd w:id="127"/>
    </w:p>
    <w:p>
      <w:pPr>
        <w:pStyle w:val="9"/>
        <w:adjustRightInd/>
        <w:snapToGrid/>
        <w:spacing w:before="0" w:after="0"/>
        <w:ind w:firstLine="562"/>
        <w:rPr>
          <w:rFonts w:ascii="黑体" w:hAnsi="黑体" w:eastAsia="黑体" w:cs="黑体"/>
          <w:sz w:val="28"/>
          <w:szCs w:val="28"/>
        </w:rPr>
      </w:pPr>
      <w:bookmarkStart w:id="128" w:name="_Toc28232"/>
      <w:bookmarkStart w:id="129" w:name="_Toc22332"/>
      <w:r>
        <w:rPr>
          <w:rFonts w:hint="eastAsia" w:ascii="黑体" w:hAnsi="黑体" w:eastAsia="黑体" w:cs="黑体"/>
          <w:sz w:val="28"/>
          <w:szCs w:val="28"/>
        </w:rPr>
        <w:t>1.绩效管理意识薄弱</w:t>
      </w:r>
      <w:bookmarkEnd w:id="128"/>
      <w:bookmarkEnd w:id="129"/>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一是</w:t>
      </w:r>
      <w:r>
        <w:rPr>
          <w:rFonts w:ascii="仿宋_GB2312" w:eastAsia="仿宋_GB2312" w:cs="仿宋_GB2312"/>
          <w:sz w:val="32"/>
          <w:szCs w:val="32"/>
        </w:rPr>
        <w:t>绩效评价在</w:t>
      </w:r>
      <w:r>
        <w:rPr>
          <w:rFonts w:hint="eastAsia" w:ascii="仿宋_GB2312" w:eastAsia="仿宋_GB2312" w:cs="仿宋_GB2312"/>
          <w:sz w:val="32"/>
          <w:szCs w:val="32"/>
        </w:rPr>
        <w:t>指标</w:t>
      </w:r>
      <w:r>
        <w:rPr>
          <w:rFonts w:ascii="仿宋_GB2312" w:eastAsia="仿宋_GB2312" w:cs="仿宋_GB2312"/>
          <w:sz w:val="32"/>
          <w:szCs w:val="32"/>
        </w:rPr>
        <w:t>设定上</w:t>
      </w:r>
      <w:r>
        <w:rPr>
          <w:rFonts w:hint="eastAsia" w:ascii="仿宋_GB2312" w:eastAsia="仿宋_GB2312" w:cs="仿宋_GB2312"/>
          <w:sz w:val="32"/>
          <w:szCs w:val="32"/>
        </w:rPr>
        <w:t>不科学</w:t>
      </w:r>
      <w:r>
        <w:rPr>
          <w:rFonts w:ascii="仿宋_GB2312" w:eastAsia="仿宋_GB2312" w:cs="仿宋_GB2312"/>
          <w:sz w:val="32"/>
          <w:szCs w:val="32"/>
        </w:rPr>
        <w:t>。个别绩效指标设置不够合理，细化量化程度不足</w:t>
      </w:r>
      <w:r>
        <w:rPr>
          <w:rFonts w:hint="eastAsia" w:ascii="仿宋_GB2312" w:eastAsia="仿宋_GB2312" w:cs="仿宋_GB2312"/>
          <w:sz w:val="32"/>
          <w:szCs w:val="32"/>
        </w:rPr>
        <w:t>，</w:t>
      </w:r>
      <w:r>
        <w:rPr>
          <w:rFonts w:ascii="仿宋_GB2312" w:eastAsia="仿宋_GB2312" w:cs="仿宋_GB2312"/>
          <w:sz w:val="32"/>
          <w:szCs w:val="32"/>
        </w:rPr>
        <w:t>没有明确的衡量标准，多样化标准的情况一定程度上</w:t>
      </w:r>
      <w:r>
        <w:rPr>
          <w:rFonts w:hint="eastAsia" w:ascii="仿宋_GB2312" w:eastAsia="仿宋_GB2312" w:cs="仿宋_GB2312"/>
          <w:sz w:val="32"/>
          <w:szCs w:val="32"/>
        </w:rPr>
        <w:t>导致</w:t>
      </w:r>
      <w:r>
        <w:rPr>
          <w:rFonts w:ascii="仿宋_GB2312" w:eastAsia="仿宋_GB2312" w:cs="仿宋_GB2312"/>
          <w:sz w:val="32"/>
          <w:szCs w:val="32"/>
        </w:rPr>
        <w:t>绩效评价的随意性较大。</w:t>
      </w:r>
      <w:r>
        <w:rPr>
          <w:rFonts w:hint="eastAsia" w:ascii="仿宋_GB2312" w:eastAsia="仿宋_GB2312" w:cs="仿宋_GB2312"/>
          <w:sz w:val="32"/>
          <w:szCs w:val="32"/>
        </w:rPr>
        <w:t>另外，</w:t>
      </w:r>
      <w:r>
        <w:rPr>
          <w:rFonts w:ascii="仿宋_GB2312" w:eastAsia="仿宋_GB2312" w:cs="仿宋_GB2312"/>
          <w:sz w:val="32"/>
          <w:szCs w:val="32"/>
        </w:rPr>
        <w:t>简单的量化指标又缺乏客观标准及相关数据支持，导致不能真实反映预算的总体情况</w:t>
      </w:r>
      <w:r>
        <w:rPr>
          <w:rFonts w:hint="eastAsia" w:ascii="仿宋_GB2312" w:eastAsia="仿宋_GB2312" w:cs="仿宋_GB2312"/>
          <w:sz w:val="32"/>
          <w:szCs w:val="32"/>
        </w:rPr>
        <w:t>。</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二是</w:t>
      </w:r>
      <w:r>
        <w:rPr>
          <w:rFonts w:ascii="仿宋_GB2312" w:eastAsia="仿宋_GB2312" w:cs="仿宋_GB2312"/>
          <w:sz w:val="32"/>
          <w:szCs w:val="32"/>
        </w:rPr>
        <w:t>对项目支出</w:t>
      </w:r>
      <w:r>
        <w:rPr>
          <w:rFonts w:hint="eastAsia" w:ascii="仿宋_GB2312" w:eastAsia="仿宋_GB2312" w:cs="仿宋_GB2312"/>
          <w:sz w:val="32"/>
          <w:szCs w:val="32"/>
        </w:rPr>
        <w:t>中期</w:t>
      </w:r>
      <w:r>
        <w:rPr>
          <w:rFonts w:ascii="仿宋_GB2312" w:eastAsia="仿宋_GB2312" w:cs="仿宋_GB2312"/>
          <w:sz w:val="32"/>
          <w:szCs w:val="32"/>
        </w:rPr>
        <w:t>绩效</w:t>
      </w:r>
      <w:r>
        <w:rPr>
          <w:rFonts w:hint="eastAsia" w:ascii="仿宋_GB2312" w:eastAsia="仿宋_GB2312" w:cs="仿宋_GB2312"/>
          <w:sz w:val="32"/>
          <w:szCs w:val="32"/>
        </w:rPr>
        <w:t>监控未达到全覆盖</w:t>
      </w:r>
      <w:r>
        <w:rPr>
          <w:rFonts w:ascii="仿宋_GB2312" w:eastAsia="仿宋_GB2312" w:cs="仿宋_GB2312"/>
          <w:sz w:val="32"/>
          <w:szCs w:val="32"/>
        </w:rPr>
        <w:t>。</w:t>
      </w:r>
      <w:r>
        <w:rPr>
          <w:rFonts w:hint="eastAsia" w:ascii="仿宋_GB2312" w:eastAsia="仿宋_GB2312" w:cs="仿宋_GB2312"/>
          <w:sz w:val="32"/>
          <w:szCs w:val="32"/>
        </w:rPr>
        <w:t>由于前期绩效管理意识不到位及缺乏专业人员，我委仅对部分重点项目进行绩效监控，未及时对项目全部资料进行梳理备案统一保管，出现资料不全等问题，导致单位自评依据不完整，评价结果不够准确。</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三是</w:t>
      </w:r>
      <w:r>
        <w:rPr>
          <w:rFonts w:ascii="仿宋_GB2312" w:eastAsia="仿宋_GB2312" w:cs="仿宋_GB2312"/>
          <w:sz w:val="32"/>
          <w:szCs w:val="32"/>
        </w:rPr>
        <w:t>业务部门对预算绩效管理工作存在偏见，</w:t>
      </w:r>
      <w:r>
        <w:rPr>
          <w:rFonts w:hint="eastAsia" w:ascii="仿宋_GB2312" w:eastAsia="仿宋_GB2312" w:cs="仿宋_GB2312"/>
          <w:sz w:val="32"/>
          <w:szCs w:val="32"/>
        </w:rPr>
        <w:t>认为预算绩效管理是财务部门的事，</w:t>
      </w:r>
      <w:r>
        <w:rPr>
          <w:rFonts w:ascii="仿宋_GB2312" w:eastAsia="仿宋_GB2312" w:cs="仿宋_GB2312"/>
          <w:sz w:val="32"/>
          <w:szCs w:val="32"/>
        </w:rPr>
        <w:t>配合参与程度较低，在管理机制约束力不足的情况下，很难保证预算绩效考核的全面性。</w:t>
      </w:r>
    </w:p>
    <w:p>
      <w:pPr>
        <w:pStyle w:val="9"/>
        <w:adjustRightInd/>
        <w:snapToGrid/>
        <w:spacing w:before="0" w:after="0"/>
        <w:ind w:firstLine="562"/>
        <w:rPr>
          <w:rFonts w:ascii="黑体" w:hAnsi="黑体" w:eastAsia="黑体" w:cs="黑体"/>
          <w:sz w:val="28"/>
          <w:szCs w:val="28"/>
        </w:rPr>
      </w:pPr>
      <w:bookmarkStart w:id="130" w:name="_Toc14425"/>
      <w:bookmarkStart w:id="131" w:name="_Toc11096"/>
      <w:r>
        <w:rPr>
          <w:rFonts w:hint="eastAsia" w:ascii="黑体" w:hAnsi="黑体" w:eastAsia="黑体" w:cs="黑体"/>
          <w:sz w:val="28"/>
          <w:szCs w:val="28"/>
        </w:rPr>
        <w:t>2.预算编制不科学、不精准。</w:t>
      </w:r>
      <w:bookmarkEnd w:id="130"/>
      <w:bookmarkEnd w:id="131"/>
    </w:p>
    <w:p>
      <w:pPr>
        <w:shd w:val="clear" w:color="auto" w:fill="FFFFFF"/>
        <w:spacing w:line="360" w:lineRule="auto"/>
        <w:ind w:firstLine="640" w:firstLineChars="200"/>
        <w:rPr>
          <w:rFonts w:ascii="仿宋_GB2312" w:eastAsia="仿宋_GB2312" w:cs="仿宋_GB2312"/>
          <w:sz w:val="32"/>
          <w:szCs w:val="32"/>
          <w:lang w:val="zh-CN"/>
        </w:rPr>
      </w:pPr>
      <w:r>
        <w:rPr>
          <w:rFonts w:ascii="仿宋_GB2312" w:eastAsia="仿宋_GB2312" w:cs="仿宋_GB2312"/>
          <w:sz w:val="32"/>
          <w:szCs w:val="32"/>
          <w:lang w:val="zh-CN"/>
        </w:rPr>
        <w:t>在上报年度预算计划时，往往是参照上一年度的支出情况进行编制，对于本年度可能发生的事项没有进行准确详尽的预估；而对于一些大型建设项目来说，编制预算需要项目科室与财务科室共同商讨决定，因项目负责人缺乏对预算管理政策的了解，项目负责人与财务人员缺乏沟通，对合理编制经费缺乏前瞻性和计划性，导致预算编制不细化，以及与预算执行、资产管理有脱节现象发生。例如预算编制过于笼统、不细化，造成年中项目资金追加或者项目资金用途不明确，容易造成挤占专项资金、待分配资金过多、项目资金未发挥效益等问题。</w:t>
      </w:r>
      <w:bookmarkStart w:id="132" w:name="_Toc3040"/>
      <w:bookmarkStart w:id="133" w:name="_Toc17948"/>
    </w:p>
    <w:p>
      <w:pPr>
        <w:pStyle w:val="8"/>
        <w:spacing w:line="360" w:lineRule="auto"/>
        <w:ind w:firstLine="602" w:firstLineChars="200"/>
        <w:rPr>
          <w:rFonts w:hint="eastAsia" w:ascii="黑体" w:hAnsi="黑体" w:eastAsia="黑体" w:cs="黑体"/>
          <w:sz w:val="30"/>
          <w:szCs w:val="30"/>
          <w:lang w:val="zh-CN"/>
        </w:rPr>
      </w:pPr>
      <w:bookmarkStart w:id="134" w:name="_Toc4602"/>
      <w:bookmarkStart w:id="135" w:name="_Toc12028"/>
      <w:bookmarkStart w:id="136" w:name="_Toc5237"/>
      <w:r>
        <w:rPr>
          <w:rFonts w:hint="eastAsia" w:ascii="黑体" w:hAnsi="黑体" w:eastAsia="黑体" w:cs="黑体"/>
          <w:sz w:val="30"/>
          <w:szCs w:val="30"/>
        </w:rPr>
        <w:t>（二）</w:t>
      </w:r>
      <w:r>
        <w:rPr>
          <w:rFonts w:hint="eastAsia" w:ascii="黑体" w:hAnsi="黑体" w:eastAsia="黑体" w:cs="黑体"/>
          <w:sz w:val="30"/>
          <w:szCs w:val="30"/>
          <w:lang w:val="zh-CN"/>
        </w:rPr>
        <w:t>下一步改进措施</w:t>
      </w:r>
      <w:bookmarkEnd w:id="132"/>
      <w:bookmarkEnd w:id="133"/>
      <w:bookmarkEnd w:id="134"/>
      <w:bookmarkEnd w:id="135"/>
      <w:bookmarkEnd w:id="136"/>
    </w:p>
    <w:p>
      <w:pPr>
        <w:shd w:val="clear" w:color="auto" w:fill="FFFFFF"/>
        <w:spacing w:line="360" w:lineRule="auto"/>
        <w:ind w:firstLine="640" w:firstLineChars="200"/>
        <w:rPr>
          <w:rFonts w:ascii="仿宋_GB2312" w:eastAsia="仿宋_GB2312" w:cs="仿宋_GB2312"/>
          <w:sz w:val="32"/>
          <w:szCs w:val="32"/>
          <w:lang w:val="zh-CN"/>
        </w:rPr>
      </w:pPr>
      <w:r>
        <w:rPr>
          <w:rFonts w:ascii="仿宋_GB2312" w:eastAsia="仿宋_GB2312" w:cs="仿宋_GB2312"/>
          <w:sz w:val="32"/>
          <w:szCs w:val="32"/>
          <w:lang w:val="zh-CN"/>
        </w:rPr>
        <w:t>根据今后的工作任务和要求，吸取</w:t>
      </w:r>
      <w:r>
        <w:rPr>
          <w:rFonts w:hint="eastAsia" w:ascii="仿宋_GB2312" w:eastAsia="仿宋_GB2312" w:cs="仿宋_GB2312"/>
          <w:sz w:val="32"/>
          <w:szCs w:val="32"/>
          <w:lang w:val="zh-CN"/>
        </w:rPr>
        <w:t>去</w:t>
      </w:r>
      <w:r>
        <w:rPr>
          <w:rFonts w:ascii="仿宋_GB2312" w:eastAsia="仿宋_GB2312" w:cs="仿宋_GB2312"/>
          <w:sz w:val="32"/>
          <w:szCs w:val="32"/>
          <w:lang w:val="zh-CN"/>
        </w:rPr>
        <w:t>年工作的经验，明确努力方向，加强绩效评价在目标上的设定，完善绩效评价内容。</w:t>
      </w:r>
    </w:p>
    <w:p>
      <w:pPr>
        <w:pStyle w:val="9"/>
        <w:adjustRightInd/>
        <w:snapToGrid/>
        <w:spacing w:before="0" w:after="0"/>
        <w:ind w:firstLine="562"/>
        <w:rPr>
          <w:rFonts w:ascii="黑体" w:hAnsi="黑体" w:eastAsia="黑体" w:cs="黑体"/>
          <w:sz w:val="28"/>
          <w:szCs w:val="28"/>
        </w:rPr>
      </w:pPr>
      <w:bookmarkStart w:id="137" w:name="_Toc25166"/>
      <w:bookmarkStart w:id="138" w:name="_Toc29066"/>
      <w:bookmarkStart w:id="139" w:name="_Toc31187"/>
      <w:r>
        <w:rPr>
          <w:rFonts w:hint="eastAsia" w:ascii="黑体" w:hAnsi="黑体" w:eastAsia="黑体" w:cs="黑体"/>
          <w:sz w:val="28"/>
          <w:szCs w:val="28"/>
        </w:rPr>
        <w:t>1.</w:t>
      </w:r>
      <w:r>
        <w:rPr>
          <w:rFonts w:ascii="黑体" w:hAnsi="黑体" w:eastAsia="黑体" w:cs="黑体"/>
          <w:sz w:val="28"/>
          <w:szCs w:val="28"/>
        </w:rPr>
        <w:t>以绩效管理宣传培训为措施，培养</w:t>
      </w:r>
      <w:r>
        <w:rPr>
          <w:rFonts w:hint="eastAsia" w:ascii="黑体" w:hAnsi="黑体" w:eastAsia="黑体" w:cs="黑体"/>
          <w:sz w:val="28"/>
          <w:szCs w:val="28"/>
        </w:rPr>
        <w:t>和提升</w:t>
      </w:r>
      <w:r>
        <w:rPr>
          <w:rFonts w:ascii="黑体" w:hAnsi="黑体" w:eastAsia="黑体" w:cs="黑体"/>
          <w:sz w:val="28"/>
          <w:szCs w:val="28"/>
        </w:rPr>
        <w:t>绩效管理意识</w:t>
      </w:r>
      <w:bookmarkEnd w:id="137"/>
      <w:bookmarkEnd w:id="138"/>
      <w:bookmarkEnd w:id="139"/>
    </w:p>
    <w:p>
      <w:pPr>
        <w:pStyle w:val="6"/>
        <w:ind w:firstLine="640"/>
        <w:rPr>
          <w:rFonts w:ascii="仿宋_GB2312" w:eastAsia="仿宋_GB2312" w:cs="仿宋_GB2312"/>
          <w:sz w:val="32"/>
          <w:szCs w:val="32"/>
        </w:rPr>
      </w:pPr>
      <w:r>
        <w:rPr>
          <w:rFonts w:ascii="仿宋_GB2312" w:eastAsia="仿宋_GB2312" w:cs="仿宋_GB2312"/>
          <w:sz w:val="32"/>
          <w:szCs w:val="32"/>
        </w:rPr>
        <w:t>进一步加强绩效管理氛围，一方面加强内部宣传，积极树立绩效管理理念，强化全员绩效意识，为推进预算绩效管理奠定良好基础；另一方面积极参加财政</w:t>
      </w:r>
      <w:r>
        <w:rPr>
          <w:rFonts w:hint="eastAsia" w:ascii="仿宋_GB2312" w:eastAsia="仿宋_GB2312" w:cs="仿宋_GB2312"/>
          <w:sz w:val="32"/>
          <w:szCs w:val="32"/>
        </w:rPr>
        <w:t>局</w:t>
      </w:r>
      <w:r>
        <w:rPr>
          <w:rFonts w:ascii="仿宋_GB2312" w:eastAsia="仿宋_GB2312" w:cs="仿宋_GB2312"/>
          <w:sz w:val="32"/>
          <w:szCs w:val="32"/>
        </w:rPr>
        <w:t>组织的绩效培训，提高职工绩效管理意识，增强全员素质着力建设绩效</w:t>
      </w:r>
      <w:r>
        <w:rPr>
          <w:rFonts w:hint="eastAsia" w:ascii="仿宋_GB2312" w:eastAsia="仿宋_GB2312" w:cs="仿宋_GB2312"/>
          <w:sz w:val="32"/>
          <w:szCs w:val="32"/>
        </w:rPr>
        <w:t>管理水平</w:t>
      </w:r>
      <w:r>
        <w:rPr>
          <w:rFonts w:ascii="仿宋_GB2312" w:eastAsia="仿宋_GB2312" w:cs="仿宋_GB2312"/>
          <w:sz w:val="32"/>
          <w:szCs w:val="32"/>
        </w:rPr>
        <w:t>，让绩效管理深入人心，形成“花钱必问效，无效必问责”的理念</w:t>
      </w:r>
      <w:r>
        <w:rPr>
          <w:rFonts w:hint="eastAsia" w:ascii="仿宋_GB2312" w:eastAsia="仿宋_GB2312" w:cs="仿宋_GB2312"/>
          <w:sz w:val="32"/>
          <w:szCs w:val="32"/>
        </w:rPr>
        <w:t>。</w:t>
      </w:r>
    </w:p>
    <w:p>
      <w:pPr>
        <w:pStyle w:val="9"/>
        <w:adjustRightInd/>
        <w:snapToGrid/>
        <w:spacing w:before="0" w:after="0"/>
        <w:ind w:firstLine="562"/>
        <w:rPr>
          <w:rFonts w:ascii="黑体" w:hAnsi="黑体" w:eastAsia="黑体" w:cs="黑体"/>
          <w:sz w:val="28"/>
          <w:szCs w:val="28"/>
          <w:lang w:val="zh-CN"/>
        </w:rPr>
      </w:pPr>
      <w:bookmarkStart w:id="140" w:name="_Toc4528"/>
      <w:bookmarkStart w:id="141" w:name="_Toc22263"/>
      <w:r>
        <w:rPr>
          <w:rFonts w:hint="eastAsia" w:ascii="黑体" w:hAnsi="黑体" w:eastAsia="黑体" w:cs="黑体"/>
          <w:sz w:val="28"/>
          <w:szCs w:val="28"/>
        </w:rPr>
        <w:t>2.</w:t>
      </w:r>
      <w:r>
        <w:rPr>
          <w:rFonts w:ascii="黑体" w:hAnsi="黑体" w:eastAsia="黑体" w:cs="黑体"/>
          <w:sz w:val="28"/>
          <w:szCs w:val="28"/>
          <w:lang w:val="zh-CN"/>
        </w:rPr>
        <w:t>完善管理制度，进一步加强</w:t>
      </w:r>
      <w:r>
        <w:rPr>
          <w:rFonts w:hint="eastAsia" w:ascii="黑体" w:hAnsi="黑体" w:eastAsia="黑体" w:cs="黑体"/>
          <w:sz w:val="28"/>
          <w:szCs w:val="28"/>
          <w:lang w:val="zh-CN"/>
        </w:rPr>
        <w:t>预算</w:t>
      </w:r>
      <w:r>
        <w:rPr>
          <w:rFonts w:ascii="黑体" w:hAnsi="黑体" w:eastAsia="黑体" w:cs="黑体"/>
          <w:sz w:val="28"/>
          <w:szCs w:val="28"/>
          <w:lang w:val="zh-CN"/>
        </w:rPr>
        <w:t>管理</w:t>
      </w:r>
      <w:bookmarkEnd w:id="140"/>
      <w:bookmarkEnd w:id="141"/>
    </w:p>
    <w:p>
      <w:pPr>
        <w:shd w:val="clear" w:color="auto" w:fill="FFFFFF"/>
        <w:spacing w:line="360" w:lineRule="auto"/>
        <w:ind w:firstLine="640" w:firstLineChars="200"/>
        <w:rPr>
          <w:rFonts w:ascii="仿宋_GB2312" w:eastAsia="仿宋_GB2312" w:cs="仿宋_GB2312"/>
          <w:sz w:val="32"/>
          <w:szCs w:val="32"/>
          <w:lang w:val="zh-CN"/>
        </w:rPr>
      </w:pPr>
      <w:r>
        <w:rPr>
          <w:rFonts w:ascii="仿宋_GB2312" w:eastAsia="仿宋_GB2312" w:cs="仿宋_GB2312"/>
          <w:sz w:val="32"/>
          <w:szCs w:val="32"/>
          <w:lang w:val="zh-CN"/>
        </w:rPr>
        <w:t>科学合理编制预算，提高部门预算质量。财政部门要进一步完善预算定额标准体系，加强对部门预算编制过程的业务指导和编制结果的审核把关；部门预算单位要加强科学分析、准确预测。既要充分反映本部门各项业务所需资金，又要考虑财力可能，准确把握部门工作重点，统筹安排，提高预算编制的准确性、可靠性。</w:t>
      </w:r>
    </w:p>
    <w:p>
      <w:pPr>
        <w:pStyle w:val="7"/>
        <w:numPr>
          <w:ilvl w:val="0"/>
          <w:numId w:val="1"/>
        </w:numPr>
        <w:spacing w:before="0" w:after="0" w:line="360" w:lineRule="auto"/>
        <w:rPr>
          <w:rFonts w:ascii="黑体" w:hAnsi="黑体" w:eastAsia="黑体" w:cs="黑体"/>
          <w:sz w:val="32"/>
          <w:szCs w:val="32"/>
        </w:rPr>
      </w:pPr>
      <w:bookmarkStart w:id="142" w:name="_Toc10285"/>
      <w:bookmarkStart w:id="143" w:name="_Toc2501"/>
      <w:bookmarkStart w:id="144" w:name="_Toc27467"/>
      <w:bookmarkStart w:id="145" w:name="_Toc10022"/>
      <w:bookmarkStart w:id="146" w:name="_Toc74919131"/>
      <w:bookmarkStart w:id="147" w:name="_Toc6424"/>
      <w:bookmarkStart w:id="148" w:name="_Toc4527"/>
      <w:r>
        <w:rPr>
          <w:rFonts w:hint="eastAsia" w:ascii="黑体" w:hAnsi="黑体" w:eastAsia="黑体" w:cs="黑体"/>
          <w:sz w:val="32"/>
          <w:szCs w:val="32"/>
        </w:rPr>
        <w:t>绩效自评结果拟应用和公开情况</w:t>
      </w:r>
      <w:bookmarkEnd w:id="142"/>
      <w:bookmarkEnd w:id="143"/>
      <w:bookmarkEnd w:id="144"/>
      <w:bookmarkEnd w:id="145"/>
      <w:bookmarkEnd w:id="146"/>
      <w:bookmarkEnd w:id="147"/>
    </w:p>
    <w:p>
      <w:pPr>
        <w:pStyle w:val="6"/>
        <w:ind w:firstLine="640"/>
        <w:rPr>
          <w:rFonts w:ascii="仿宋_GB2312" w:eastAsia="仿宋_GB2312" w:cs="仿宋_GB2312"/>
          <w:sz w:val="32"/>
          <w:szCs w:val="32"/>
        </w:rPr>
      </w:pPr>
      <w:r>
        <w:rPr>
          <w:rFonts w:hint="eastAsia" w:ascii="仿宋_GB2312" w:eastAsia="仿宋_GB2312" w:cs="仿宋_GB2312"/>
          <w:sz w:val="32"/>
          <w:szCs w:val="32"/>
        </w:rPr>
        <w:t>我局高度重视绩效评价结果的应用工作，绩效自评报告将按照规定要求</w:t>
      </w:r>
      <w:r>
        <w:rPr>
          <w:rFonts w:ascii="仿宋_GB2312" w:eastAsia="仿宋_GB2312" w:cs="仿宋_GB2312"/>
          <w:sz w:val="32"/>
          <w:szCs w:val="32"/>
        </w:rPr>
        <w:t>,</w:t>
      </w:r>
      <w:r>
        <w:rPr>
          <w:rFonts w:hint="eastAsia" w:ascii="仿宋_GB2312" w:eastAsia="仿宋_GB2312" w:cs="仿宋_GB2312"/>
          <w:sz w:val="32"/>
          <w:szCs w:val="32"/>
        </w:rPr>
        <w:t>及时向市财政局提供自评结果，</w:t>
      </w:r>
      <w:r>
        <w:rPr>
          <w:rFonts w:ascii="仿宋_GB2312" w:eastAsia="仿宋_GB2312" w:cs="仿宋_GB2312"/>
          <w:sz w:val="32"/>
          <w:szCs w:val="32"/>
        </w:rPr>
        <w:t>接受</w:t>
      </w:r>
      <w:r>
        <w:rPr>
          <w:rFonts w:hint="eastAsia" w:ascii="仿宋_GB2312" w:eastAsia="仿宋_GB2312" w:cs="仿宋_GB2312"/>
          <w:sz w:val="32"/>
          <w:szCs w:val="32"/>
        </w:rPr>
        <w:t>上级部门的</w:t>
      </w:r>
      <w:r>
        <w:rPr>
          <w:rFonts w:ascii="仿宋_GB2312" w:eastAsia="仿宋_GB2312" w:cs="仿宋_GB2312"/>
          <w:sz w:val="32"/>
          <w:szCs w:val="32"/>
        </w:rPr>
        <w:t>监督</w:t>
      </w:r>
      <w:r>
        <w:rPr>
          <w:rFonts w:hint="eastAsia" w:ascii="仿宋_GB2312" w:eastAsia="仿宋_GB2312" w:cs="仿宋_GB2312"/>
          <w:sz w:val="32"/>
          <w:szCs w:val="32"/>
        </w:rPr>
        <w:t>。</w:t>
      </w:r>
      <w:r>
        <w:rPr>
          <w:rFonts w:ascii="仿宋_GB2312" w:eastAsia="仿宋_GB2312" w:cs="仿宋_GB2312"/>
          <w:sz w:val="32"/>
          <w:szCs w:val="32"/>
        </w:rPr>
        <w:t>我们将根据绩效评价结果采取如下工作措施：</w:t>
      </w:r>
    </w:p>
    <w:p>
      <w:pPr>
        <w:pStyle w:val="8"/>
        <w:adjustRightInd/>
        <w:snapToGrid/>
        <w:spacing w:before="0" w:after="0"/>
        <w:rPr>
          <w:rFonts w:ascii="黑体" w:hAnsi="黑体" w:eastAsia="黑体" w:cs="黑体"/>
          <w:sz w:val="30"/>
          <w:szCs w:val="30"/>
        </w:rPr>
      </w:pPr>
      <w:bookmarkStart w:id="149" w:name="_Toc74919132"/>
      <w:bookmarkStart w:id="150" w:name="_Toc13217"/>
      <w:bookmarkStart w:id="151" w:name="_Toc20776"/>
      <w:bookmarkStart w:id="152" w:name="_Toc12911"/>
      <w:bookmarkStart w:id="153" w:name="_Toc9629"/>
      <w:bookmarkStart w:id="154" w:name="_Toc18714"/>
      <w:r>
        <w:rPr>
          <w:rFonts w:hint="eastAsia" w:ascii="黑体" w:hAnsi="黑体" w:eastAsia="黑体" w:cs="黑体"/>
          <w:sz w:val="30"/>
          <w:szCs w:val="30"/>
        </w:rPr>
        <w:t>（一）</w:t>
      </w:r>
      <w:r>
        <w:rPr>
          <w:rFonts w:ascii="黑体" w:hAnsi="黑体" w:eastAsia="黑体" w:cs="黑体"/>
          <w:sz w:val="30"/>
          <w:szCs w:val="30"/>
        </w:rPr>
        <w:t>以绩效评价结果应用为目标，坚持报告与公开相结合</w:t>
      </w:r>
      <w:bookmarkEnd w:id="148"/>
      <w:bookmarkEnd w:id="149"/>
      <w:bookmarkEnd w:id="150"/>
      <w:bookmarkEnd w:id="151"/>
      <w:bookmarkEnd w:id="152"/>
      <w:bookmarkEnd w:id="153"/>
      <w:bookmarkEnd w:id="154"/>
    </w:p>
    <w:p>
      <w:pPr>
        <w:pStyle w:val="6"/>
        <w:ind w:firstLine="640"/>
        <w:rPr>
          <w:rFonts w:ascii="仿宋_GB2312" w:eastAsia="仿宋_GB2312" w:cs="仿宋_GB2312"/>
          <w:sz w:val="32"/>
          <w:szCs w:val="32"/>
        </w:rPr>
      </w:pPr>
      <w:r>
        <w:rPr>
          <w:rFonts w:ascii="仿宋_GB2312" w:eastAsia="仿宋_GB2312" w:cs="仿宋_GB2312"/>
          <w:sz w:val="32"/>
          <w:szCs w:val="32"/>
        </w:rPr>
        <w:t>为加强绩效评价结果的应用，根据</w:t>
      </w:r>
      <w:r>
        <w:rPr>
          <w:rFonts w:hint="eastAsia" w:ascii="仿宋_GB2312" w:eastAsia="仿宋_GB2312" w:cs="仿宋_GB2312"/>
          <w:sz w:val="32"/>
          <w:szCs w:val="32"/>
        </w:rPr>
        <w:t>市财政局《三门峡市财政局关于开展202</w:t>
      </w:r>
      <w:r>
        <w:rPr>
          <w:rFonts w:hint="eastAsia" w:ascii="仿宋_GB2312" w:eastAsia="仿宋_GB2312" w:cs="仿宋_GB2312"/>
          <w:sz w:val="32"/>
          <w:szCs w:val="32"/>
          <w:lang w:val="en-US" w:eastAsia="zh-CN"/>
        </w:rPr>
        <w:t>1</w:t>
      </w:r>
      <w:r>
        <w:rPr>
          <w:rFonts w:hint="eastAsia" w:ascii="仿宋_GB2312" w:eastAsia="仿宋_GB2312" w:cs="仿宋_GB2312"/>
          <w:sz w:val="32"/>
          <w:szCs w:val="32"/>
        </w:rPr>
        <w:t>年度市级预算绩效自评工作的通知》（三财效〔202</w:t>
      </w: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〕3号）文件</w:t>
      </w:r>
      <w:r>
        <w:rPr>
          <w:rFonts w:ascii="仿宋_GB2312" w:eastAsia="仿宋_GB2312" w:cs="仿宋_GB2312"/>
          <w:sz w:val="32"/>
          <w:szCs w:val="32"/>
        </w:rPr>
        <w:t>的要求，20</w:t>
      </w:r>
      <w:r>
        <w:rPr>
          <w:rFonts w:hint="eastAsia" w:ascii="仿宋_GB2312" w:eastAsia="仿宋_GB2312" w:cs="仿宋_GB2312"/>
          <w:sz w:val="32"/>
          <w:szCs w:val="32"/>
        </w:rPr>
        <w:t>2</w:t>
      </w:r>
      <w:r>
        <w:rPr>
          <w:rFonts w:hint="eastAsia" w:ascii="仿宋_GB2312" w:eastAsia="仿宋_GB2312" w:cs="仿宋_GB2312"/>
          <w:sz w:val="32"/>
          <w:szCs w:val="32"/>
          <w:lang w:val="en-US" w:eastAsia="zh-CN"/>
        </w:rPr>
        <w:t>1</w:t>
      </w:r>
      <w:r>
        <w:rPr>
          <w:rFonts w:ascii="仿宋_GB2312" w:eastAsia="仿宋_GB2312" w:cs="仿宋_GB2312"/>
          <w:sz w:val="32"/>
          <w:szCs w:val="32"/>
        </w:rPr>
        <w:t>年度</w:t>
      </w:r>
      <w:r>
        <w:rPr>
          <w:rFonts w:hint="eastAsia" w:ascii="仿宋_GB2312" w:eastAsia="仿宋_GB2312" w:cs="仿宋_GB2312"/>
          <w:sz w:val="32"/>
          <w:szCs w:val="32"/>
        </w:rPr>
        <w:t>三门峡市场监督管理局部门整体绩效自评报告及自评表按时</w:t>
      </w:r>
      <w:r>
        <w:rPr>
          <w:rFonts w:ascii="仿宋_GB2312" w:eastAsia="仿宋_GB2312" w:cs="仿宋_GB2312"/>
          <w:sz w:val="32"/>
          <w:szCs w:val="32"/>
        </w:rPr>
        <w:t>上报</w:t>
      </w:r>
      <w:r>
        <w:rPr>
          <w:rFonts w:hint="eastAsia" w:ascii="仿宋_GB2312" w:eastAsia="仿宋_GB2312" w:cs="仿宋_GB2312"/>
          <w:sz w:val="32"/>
          <w:szCs w:val="32"/>
        </w:rPr>
        <w:t>三门峡市</w:t>
      </w:r>
      <w:r>
        <w:rPr>
          <w:rFonts w:ascii="仿宋_GB2312" w:eastAsia="仿宋_GB2312" w:cs="仿宋_GB2312"/>
          <w:sz w:val="32"/>
          <w:szCs w:val="32"/>
        </w:rPr>
        <w:t>财政</w:t>
      </w:r>
      <w:r>
        <w:rPr>
          <w:rFonts w:hint="eastAsia" w:ascii="仿宋_GB2312" w:eastAsia="仿宋_GB2312" w:cs="仿宋_GB2312"/>
          <w:sz w:val="32"/>
          <w:szCs w:val="32"/>
        </w:rPr>
        <w:t>局，将绩效评价结果应用于下一年的预算编制</w:t>
      </w:r>
      <w:r>
        <w:rPr>
          <w:rFonts w:ascii="仿宋_GB2312" w:eastAsia="仿宋_GB2312" w:cs="仿宋_GB2312"/>
          <w:sz w:val="32"/>
          <w:szCs w:val="32"/>
        </w:rPr>
        <w:t>。</w:t>
      </w:r>
    </w:p>
    <w:p>
      <w:pPr>
        <w:pStyle w:val="8"/>
        <w:adjustRightInd/>
        <w:snapToGrid/>
        <w:spacing w:before="0" w:after="0"/>
        <w:rPr>
          <w:rFonts w:ascii="黑体" w:hAnsi="黑体" w:eastAsia="黑体" w:cs="黑体"/>
          <w:sz w:val="30"/>
          <w:szCs w:val="30"/>
        </w:rPr>
      </w:pPr>
      <w:bookmarkStart w:id="155" w:name="_Toc74919133"/>
      <w:bookmarkStart w:id="156" w:name="_Toc1520"/>
      <w:bookmarkStart w:id="157" w:name="_Toc1950"/>
      <w:bookmarkStart w:id="158" w:name="_Toc1040"/>
      <w:bookmarkStart w:id="159" w:name="_Toc4763"/>
      <w:bookmarkStart w:id="160" w:name="_Toc14726"/>
      <w:bookmarkStart w:id="161" w:name="_Toc8333"/>
      <w:r>
        <w:rPr>
          <w:rFonts w:hint="eastAsia" w:ascii="黑体" w:hAnsi="黑体" w:eastAsia="黑体" w:cs="黑体"/>
          <w:sz w:val="30"/>
          <w:szCs w:val="30"/>
        </w:rPr>
        <w:t>（二）</w:t>
      </w:r>
      <w:r>
        <w:rPr>
          <w:rFonts w:ascii="黑体" w:hAnsi="黑体" w:eastAsia="黑体" w:cs="黑体"/>
          <w:sz w:val="30"/>
          <w:szCs w:val="30"/>
        </w:rPr>
        <w:t>以绩效评价反馈问题为导向，提出整改的思路和办法</w:t>
      </w:r>
      <w:bookmarkEnd w:id="155"/>
      <w:bookmarkEnd w:id="156"/>
      <w:bookmarkEnd w:id="157"/>
      <w:bookmarkEnd w:id="158"/>
      <w:bookmarkEnd w:id="159"/>
      <w:bookmarkEnd w:id="160"/>
      <w:bookmarkEnd w:id="161"/>
    </w:p>
    <w:p>
      <w:pPr>
        <w:ind w:firstLine="640" w:firstLineChars="200"/>
        <w:rPr>
          <w:rFonts w:ascii="仿宋_GB2312" w:eastAsia="仿宋_GB2312" w:cs="仿宋_GB2312"/>
          <w:sz w:val="32"/>
          <w:szCs w:val="32"/>
        </w:rPr>
      </w:pPr>
      <w:r>
        <w:rPr>
          <w:rFonts w:ascii="仿宋_GB2312" w:eastAsia="仿宋_GB2312" w:cs="仿宋_GB2312"/>
          <w:sz w:val="32"/>
          <w:szCs w:val="32"/>
        </w:rPr>
        <w:t>根据绩效</w:t>
      </w:r>
      <w:r>
        <w:rPr>
          <w:rFonts w:hint="eastAsia" w:ascii="仿宋_GB2312" w:eastAsia="仿宋_GB2312" w:cs="仿宋_GB2312"/>
          <w:sz w:val="32"/>
          <w:szCs w:val="32"/>
        </w:rPr>
        <w:t>自评</w:t>
      </w:r>
      <w:r>
        <w:rPr>
          <w:rFonts w:ascii="仿宋_GB2312" w:eastAsia="仿宋_GB2312" w:cs="仿宋_GB2312"/>
          <w:sz w:val="32"/>
          <w:szCs w:val="32"/>
        </w:rPr>
        <w:t>结果，要求各</w:t>
      </w:r>
      <w:r>
        <w:rPr>
          <w:rFonts w:hint="eastAsia" w:ascii="仿宋_GB2312" w:eastAsia="仿宋_GB2312" w:cs="仿宋_GB2312"/>
          <w:sz w:val="32"/>
          <w:szCs w:val="32"/>
        </w:rPr>
        <w:t>业务单位</w:t>
      </w:r>
      <w:r>
        <w:rPr>
          <w:rFonts w:ascii="仿宋_GB2312" w:eastAsia="仿宋_GB2312" w:cs="仿宋_GB2312"/>
          <w:sz w:val="32"/>
          <w:szCs w:val="32"/>
        </w:rPr>
        <w:t>进一步分析绩效目标未完成的原因，发现部门工作存在的问题，提出整改思路和解决办法，</w:t>
      </w:r>
      <w:r>
        <w:rPr>
          <w:rFonts w:hint="eastAsia" w:ascii="仿宋_GB2312" w:eastAsia="仿宋_GB2312" w:cs="仿宋_GB2312"/>
          <w:sz w:val="32"/>
          <w:szCs w:val="32"/>
        </w:rPr>
        <w:t>结合问卷调查中社会公众的相关意见和建议，</w:t>
      </w:r>
      <w:r>
        <w:rPr>
          <w:rFonts w:ascii="仿宋_GB2312" w:eastAsia="仿宋_GB2312" w:cs="仿宋_GB2312"/>
          <w:sz w:val="32"/>
          <w:szCs w:val="32"/>
        </w:rPr>
        <w:t>以问题为导向，扎实推进</w:t>
      </w:r>
      <w:r>
        <w:rPr>
          <w:rFonts w:hint="eastAsia" w:ascii="仿宋_GB2312" w:eastAsia="仿宋_GB2312" w:cs="仿宋_GB2312"/>
          <w:sz w:val="32"/>
          <w:szCs w:val="32"/>
        </w:rPr>
        <w:t>三门峡市场监督管理局各项工作</w:t>
      </w:r>
      <w:r>
        <w:rPr>
          <w:rFonts w:ascii="仿宋_GB2312" w:eastAsia="仿宋_GB2312" w:cs="仿宋_GB2312"/>
          <w:sz w:val="32"/>
          <w:szCs w:val="32"/>
        </w:rPr>
        <w:t>发展</w:t>
      </w:r>
      <w:r>
        <w:rPr>
          <w:rFonts w:hint="eastAsia" w:ascii="仿宋_GB2312" w:eastAsia="仿宋_GB2312" w:cs="仿宋_GB2312"/>
          <w:sz w:val="32"/>
          <w:szCs w:val="32"/>
        </w:rPr>
        <w:t>。</w:t>
      </w:r>
    </w:p>
    <w:p>
      <w:pPr>
        <w:pStyle w:val="8"/>
        <w:adjustRightInd/>
        <w:snapToGrid/>
        <w:spacing w:before="0" w:after="0"/>
        <w:rPr>
          <w:rFonts w:ascii="黑体" w:hAnsi="黑体" w:eastAsia="黑体" w:cs="黑体"/>
          <w:sz w:val="30"/>
          <w:szCs w:val="30"/>
        </w:rPr>
      </w:pPr>
      <w:bookmarkStart w:id="162" w:name="_Toc17358"/>
      <w:bookmarkStart w:id="163" w:name="_Toc16101"/>
      <w:bookmarkStart w:id="164" w:name="_Toc16542"/>
      <w:bookmarkStart w:id="165" w:name="_Toc74919134"/>
      <w:bookmarkStart w:id="166" w:name="_Toc18356"/>
      <w:bookmarkStart w:id="167" w:name="_Toc11339"/>
      <w:r>
        <w:rPr>
          <w:rFonts w:hint="eastAsia" w:ascii="黑体" w:hAnsi="黑体" w:eastAsia="黑体" w:cs="黑体"/>
          <w:sz w:val="30"/>
          <w:szCs w:val="30"/>
        </w:rPr>
        <w:t>（三）以绩效管理宣传培训为措施，培养和提升绩效管理意识</w:t>
      </w:r>
      <w:bookmarkEnd w:id="162"/>
      <w:bookmarkEnd w:id="163"/>
      <w:bookmarkEnd w:id="164"/>
      <w:bookmarkEnd w:id="165"/>
      <w:bookmarkEnd w:id="166"/>
      <w:bookmarkEnd w:id="167"/>
    </w:p>
    <w:p>
      <w:pPr>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进一步加强绩效管理氛围，一方面加强内部宣传，积极树立绩效管理理念，强化全员绩效意识，为推进预算绩效管理奠定良好基础；另一方面积极参加财政部门组织的绩效培训，提高职工绩效管理意识，增强全员素质着力建设绩效</w:t>
      </w:r>
      <w:r>
        <w:rPr>
          <w:rFonts w:hint="eastAsia" w:ascii="仿宋_GB2312" w:eastAsia="仿宋_GB2312" w:cs="仿宋_GB2312"/>
          <w:sz w:val="32"/>
          <w:szCs w:val="32"/>
        </w:rPr>
        <w:t>管理水平</w:t>
      </w:r>
      <w:r>
        <w:rPr>
          <w:rFonts w:ascii="仿宋_GB2312" w:eastAsia="仿宋_GB2312" w:cs="仿宋_GB2312"/>
          <w:sz w:val="32"/>
          <w:szCs w:val="32"/>
        </w:rPr>
        <w:t>，让绩效管理深入人心，形成“花钱必问效，无效必问责”的理念</w:t>
      </w:r>
      <w:r>
        <w:rPr>
          <w:rFonts w:hint="eastAsia" w:ascii="仿宋_GB2312" w:eastAsia="仿宋_GB2312" w:cs="仿宋_GB2312"/>
          <w:sz w:val="32"/>
          <w:szCs w:val="32"/>
        </w:rPr>
        <w:t>。</w:t>
      </w:r>
    </w:p>
    <w:p>
      <w:pPr>
        <w:pStyle w:val="7"/>
        <w:numPr>
          <w:ilvl w:val="0"/>
          <w:numId w:val="1"/>
        </w:numPr>
        <w:spacing w:before="0" w:after="0" w:line="360" w:lineRule="auto"/>
        <w:rPr>
          <w:rFonts w:ascii="黑体" w:hAnsi="黑体" w:eastAsia="黑体" w:cs="黑体"/>
          <w:sz w:val="32"/>
          <w:szCs w:val="32"/>
        </w:rPr>
      </w:pPr>
      <w:bookmarkStart w:id="168" w:name="_Toc28975"/>
      <w:bookmarkStart w:id="169" w:name="_Toc22784"/>
      <w:bookmarkStart w:id="170" w:name="_Toc3822"/>
      <w:bookmarkStart w:id="171" w:name="_Toc74919135"/>
      <w:bookmarkStart w:id="172" w:name="_Toc24426"/>
      <w:bookmarkStart w:id="173" w:name="_Toc20655"/>
      <w:r>
        <w:rPr>
          <w:rFonts w:hint="eastAsia" w:ascii="黑体" w:hAnsi="黑体" w:eastAsia="黑体" w:cs="黑体"/>
          <w:sz w:val="32"/>
          <w:szCs w:val="32"/>
        </w:rPr>
        <w:t>绩效自评工作的经验、问题和建议</w:t>
      </w:r>
      <w:bookmarkEnd w:id="168"/>
      <w:bookmarkEnd w:id="169"/>
      <w:bookmarkEnd w:id="170"/>
      <w:bookmarkEnd w:id="171"/>
      <w:bookmarkEnd w:id="172"/>
      <w:bookmarkEnd w:id="173"/>
    </w:p>
    <w:p>
      <w:pPr>
        <w:pStyle w:val="8"/>
        <w:adjustRightInd/>
        <w:snapToGrid/>
        <w:spacing w:before="0" w:after="0"/>
        <w:rPr>
          <w:rFonts w:ascii="黑体" w:hAnsi="黑体" w:eastAsia="黑体" w:cs="黑体"/>
          <w:sz w:val="30"/>
          <w:szCs w:val="30"/>
        </w:rPr>
      </w:pPr>
      <w:bookmarkStart w:id="174" w:name="_Toc15006"/>
      <w:bookmarkStart w:id="175" w:name="_Toc16481"/>
      <w:bookmarkStart w:id="176" w:name="_Toc74919136"/>
      <w:bookmarkStart w:id="177" w:name="_Toc16134"/>
      <w:bookmarkStart w:id="178" w:name="_Toc8923"/>
      <w:bookmarkStart w:id="179" w:name="_Toc13800"/>
      <w:r>
        <w:rPr>
          <w:rFonts w:hint="eastAsia" w:ascii="黑体" w:hAnsi="黑体" w:eastAsia="黑体" w:cs="黑体"/>
          <w:sz w:val="30"/>
          <w:szCs w:val="30"/>
        </w:rPr>
        <w:t>（一）绩效自评工作经验</w:t>
      </w:r>
      <w:bookmarkEnd w:id="174"/>
      <w:bookmarkEnd w:id="175"/>
      <w:bookmarkEnd w:id="176"/>
      <w:bookmarkEnd w:id="177"/>
      <w:bookmarkEnd w:id="178"/>
      <w:bookmarkEnd w:id="179"/>
    </w:p>
    <w:p>
      <w:pPr>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我局第一次开展部门整体绩效自评工作，通过此次部门整体绩效自评，我局充分了解到本级部门的整体运行情况和工作开展进度、成效及不足之处。此次评价发现的相关问题，为我局今后的工作规划提供了借鉴、能够指导今后工作实际开展，促使我局内部的管理。</w:t>
      </w:r>
    </w:p>
    <w:p>
      <w:pPr>
        <w:pStyle w:val="8"/>
        <w:adjustRightInd/>
        <w:snapToGrid/>
        <w:spacing w:before="0" w:after="0"/>
        <w:rPr>
          <w:rFonts w:ascii="黑体" w:hAnsi="黑体" w:eastAsia="黑体" w:cs="黑体"/>
          <w:sz w:val="30"/>
          <w:szCs w:val="30"/>
        </w:rPr>
      </w:pPr>
      <w:bookmarkStart w:id="180" w:name="_Toc32328"/>
      <w:bookmarkStart w:id="181" w:name="_Toc74919137"/>
      <w:bookmarkStart w:id="182" w:name="_Toc5662"/>
      <w:bookmarkStart w:id="183" w:name="_Toc31780"/>
      <w:bookmarkStart w:id="184" w:name="_Toc11653"/>
      <w:bookmarkStart w:id="185" w:name="_Toc18988"/>
      <w:r>
        <w:rPr>
          <w:rFonts w:hint="eastAsia" w:ascii="黑体" w:hAnsi="黑体" w:eastAsia="黑体" w:cs="黑体"/>
          <w:sz w:val="30"/>
          <w:szCs w:val="30"/>
        </w:rPr>
        <w:t>（二）绩效自评工作发现的问题</w:t>
      </w:r>
      <w:bookmarkEnd w:id="180"/>
      <w:bookmarkEnd w:id="181"/>
      <w:bookmarkEnd w:id="182"/>
      <w:bookmarkEnd w:id="183"/>
      <w:bookmarkEnd w:id="184"/>
      <w:bookmarkEnd w:id="185"/>
    </w:p>
    <w:p>
      <w:pPr>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此次绩效自评工作的开展，我局发现部门自身对绩效管理存在欠缺，工作人员对绩效管理概念认识不足，在2</w:t>
      </w:r>
      <w:r>
        <w:rPr>
          <w:rFonts w:ascii="仿宋_GB2312" w:eastAsia="仿宋_GB2312" w:cs="仿宋_GB2312"/>
          <w:sz w:val="32"/>
          <w:szCs w:val="32"/>
        </w:rPr>
        <w:t>0</w:t>
      </w:r>
      <w:r>
        <w:rPr>
          <w:rFonts w:hint="eastAsia" w:ascii="仿宋_GB2312" w:eastAsia="仿宋_GB2312" w:cs="仿宋_GB2312"/>
          <w:sz w:val="32"/>
          <w:szCs w:val="32"/>
        </w:rPr>
        <w:t>2</w:t>
      </w:r>
      <w:r>
        <w:rPr>
          <w:rFonts w:hint="eastAsia" w:ascii="仿宋_GB2312" w:eastAsia="仿宋_GB2312" w:cs="仿宋_GB2312"/>
          <w:sz w:val="32"/>
          <w:szCs w:val="32"/>
          <w:lang w:val="en-US" w:eastAsia="zh-CN"/>
        </w:rPr>
        <w:t>1</w:t>
      </w:r>
      <w:r>
        <w:rPr>
          <w:rFonts w:hint="eastAsia" w:ascii="仿宋_GB2312" w:eastAsia="仿宋_GB2312" w:cs="仿宋_GB2312"/>
          <w:sz w:val="32"/>
          <w:szCs w:val="32"/>
        </w:rPr>
        <w:t>年设置绩效目标及绩效指标时，部分绩效目标和绩效指标设置的合理性不足，一些指标贴合工作但难以考察。上述问题导致绩效自评工作开展过程中，一些指标的考察和评分较为困难。</w:t>
      </w:r>
    </w:p>
    <w:p>
      <w:pPr>
        <w:pStyle w:val="8"/>
        <w:adjustRightInd/>
        <w:snapToGrid/>
        <w:spacing w:before="0" w:after="0"/>
        <w:rPr>
          <w:rFonts w:ascii="黑体" w:hAnsi="黑体" w:eastAsia="黑体" w:cs="黑体"/>
          <w:sz w:val="30"/>
          <w:szCs w:val="30"/>
        </w:rPr>
      </w:pPr>
      <w:bookmarkStart w:id="186" w:name="_Toc26893"/>
      <w:bookmarkStart w:id="187" w:name="_Toc16548"/>
      <w:bookmarkStart w:id="188" w:name="_Toc104"/>
      <w:bookmarkStart w:id="189" w:name="_Toc3179"/>
      <w:bookmarkStart w:id="190" w:name="_Toc19226"/>
      <w:bookmarkStart w:id="191" w:name="_Toc74919138"/>
      <w:bookmarkStart w:id="192" w:name="_Toc24836"/>
      <w:r>
        <w:rPr>
          <w:rFonts w:hint="eastAsia" w:ascii="黑体" w:hAnsi="黑体" w:eastAsia="黑体" w:cs="黑体"/>
          <w:sz w:val="30"/>
          <w:szCs w:val="30"/>
        </w:rPr>
        <w:t>（三）绩效自评工作的相关建议</w:t>
      </w:r>
      <w:bookmarkEnd w:id="186"/>
      <w:bookmarkEnd w:id="187"/>
      <w:bookmarkEnd w:id="188"/>
      <w:bookmarkEnd w:id="189"/>
      <w:bookmarkEnd w:id="190"/>
      <w:bookmarkEnd w:id="191"/>
    </w:p>
    <w:bookmarkEnd w:id="192"/>
    <w:p>
      <w:pPr>
        <w:pStyle w:val="9"/>
        <w:adjustRightInd/>
        <w:snapToGrid/>
        <w:spacing w:before="0" w:after="0"/>
        <w:ind w:firstLine="562"/>
        <w:rPr>
          <w:rFonts w:ascii="黑体" w:hAnsi="黑体" w:eastAsia="黑体" w:cs="黑体"/>
          <w:sz w:val="28"/>
          <w:szCs w:val="28"/>
        </w:rPr>
      </w:pPr>
      <w:bookmarkStart w:id="193" w:name="_Toc15485"/>
      <w:bookmarkStart w:id="194" w:name="_Toc16464"/>
      <w:r>
        <w:rPr>
          <w:rFonts w:hint="eastAsia" w:ascii="黑体" w:hAnsi="黑体" w:eastAsia="黑体" w:cs="黑体"/>
          <w:sz w:val="28"/>
          <w:szCs w:val="28"/>
        </w:rPr>
        <w:t>1.强化宣传培训，筑牢预算绩效管理理念</w:t>
      </w:r>
      <w:bookmarkEnd w:id="193"/>
      <w:bookmarkEnd w:id="194"/>
    </w:p>
    <w:p>
      <w:pPr>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建议从强基础、严机制的角度入手，持续加大宣传培训力度，对项目实施单位开展绩效管理政策理论、规章制度和操作技术培训。</w:t>
      </w:r>
    </w:p>
    <w:p>
      <w:pPr>
        <w:pStyle w:val="9"/>
        <w:adjustRightInd/>
        <w:snapToGrid/>
        <w:spacing w:before="0" w:after="0"/>
        <w:ind w:firstLine="562"/>
        <w:rPr>
          <w:rFonts w:ascii="黑体" w:hAnsi="黑体" w:eastAsia="黑体" w:cs="黑体"/>
          <w:sz w:val="28"/>
          <w:szCs w:val="28"/>
        </w:rPr>
      </w:pPr>
      <w:bookmarkStart w:id="195" w:name="_Toc10662"/>
      <w:bookmarkStart w:id="196" w:name="_Toc9500"/>
      <w:r>
        <w:rPr>
          <w:rFonts w:hint="eastAsia" w:ascii="黑体" w:hAnsi="黑体" w:eastAsia="黑体" w:cs="黑体"/>
          <w:sz w:val="28"/>
          <w:szCs w:val="28"/>
        </w:rPr>
        <w:t>2.层层压实责任，纵深推进绩效管理工作</w:t>
      </w:r>
      <w:bookmarkEnd w:id="195"/>
      <w:bookmarkEnd w:id="196"/>
    </w:p>
    <w:p>
      <w:pPr>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一是压实主管部门指导培训责任,充分发挥其熟悉项目的优势，做好绩效目标设定、指标设置和完成情况认定等方面的指导培训工作。二是压实资金使用单位项目绩效管理主体责任，结合项目资金绩效管理相关要求，在项目库建设、项目绩效目标申报、项目执行等环节，做实做细项目绩效管理工作。</w:t>
      </w:r>
    </w:p>
    <w:p>
      <w:pPr>
        <w:pStyle w:val="9"/>
        <w:adjustRightInd/>
        <w:snapToGrid/>
        <w:spacing w:before="0" w:after="0"/>
        <w:ind w:firstLine="562"/>
        <w:rPr>
          <w:rFonts w:ascii="黑体" w:hAnsi="黑体" w:eastAsia="黑体" w:cs="黑体"/>
          <w:sz w:val="28"/>
          <w:szCs w:val="28"/>
        </w:rPr>
      </w:pPr>
      <w:bookmarkStart w:id="197" w:name="_Toc32506"/>
      <w:bookmarkStart w:id="198" w:name="_Toc25629"/>
      <w:r>
        <w:rPr>
          <w:rFonts w:hint="eastAsia" w:ascii="黑体" w:hAnsi="黑体" w:eastAsia="黑体" w:cs="黑体"/>
          <w:sz w:val="28"/>
          <w:szCs w:val="28"/>
        </w:rPr>
        <w:t>3.完善信息系统，持续提升绩效管理效率</w:t>
      </w:r>
      <w:bookmarkEnd w:id="197"/>
      <w:bookmarkEnd w:id="198"/>
    </w:p>
    <w:p>
      <w:pPr>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整合优化现有各类财政管理系统，坚持一次填报、多系统多层级数据共享，最大限度减少基层工作量。</w:t>
      </w:r>
    </w:p>
    <w:p>
      <w:pPr>
        <w:pStyle w:val="9"/>
        <w:adjustRightInd/>
        <w:snapToGrid/>
        <w:spacing w:before="0" w:after="0"/>
        <w:ind w:firstLine="562"/>
        <w:rPr>
          <w:rFonts w:ascii="黑体" w:hAnsi="黑体" w:eastAsia="黑体" w:cs="黑体"/>
          <w:sz w:val="28"/>
          <w:szCs w:val="28"/>
        </w:rPr>
      </w:pPr>
      <w:bookmarkStart w:id="199" w:name="_Toc10691"/>
      <w:bookmarkStart w:id="200" w:name="_Toc28382"/>
      <w:r>
        <w:rPr>
          <w:rFonts w:hint="eastAsia" w:ascii="黑体" w:hAnsi="黑体" w:eastAsia="黑体" w:cs="黑体"/>
          <w:sz w:val="28"/>
          <w:szCs w:val="28"/>
        </w:rPr>
        <w:t>4.建立长效机制，巩固利用绩效评价成果</w:t>
      </w:r>
      <w:bookmarkEnd w:id="199"/>
      <w:bookmarkEnd w:id="200"/>
    </w:p>
    <w:p>
      <w:pPr>
        <w:spacing w:line="360" w:lineRule="auto"/>
        <w:ind w:firstLine="560" w:firstLineChars="200"/>
        <w:rPr>
          <w:rFonts w:ascii="仿宋_GB2312" w:eastAsia="仿宋_GB2312" w:cs="仿宋_GB2312"/>
          <w:sz w:val="32"/>
          <w:szCs w:val="32"/>
        </w:rPr>
      </w:pPr>
      <w:r>
        <w:rPr>
          <w:rFonts w:hint="eastAsia" w:ascii="仿宋_GB2312" w:eastAsia="仿宋_GB2312" w:cs="仿宋_GB2312"/>
          <w:sz w:val="28"/>
          <w:szCs w:val="28"/>
        </w:rPr>
        <w:t>一</w:t>
      </w:r>
      <w:r>
        <w:rPr>
          <w:rFonts w:hint="eastAsia" w:ascii="仿宋_GB2312" w:eastAsia="仿宋_GB2312" w:cs="仿宋_GB2312"/>
          <w:sz w:val="32"/>
          <w:szCs w:val="32"/>
        </w:rPr>
        <w:t>是建立跟踪反馈制度，持续跟踪关注自评抽审发现的问题，组织“回头看”督促整改。二是建立工作通报机制，对自评抽审情况进行通报，推动形成辐射放大效应，鼓励先进、激励后进。三是建立绩效问责制度，对因事前绩效评估、绩效自评结果不实造成重大损失浪费的行为，追究责任，切实做到“花钱必问效、无效必问责”。</w:t>
      </w:r>
    </w:p>
    <w:p>
      <w:pPr>
        <w:pStyle w:val="7"/>
        <w:numPr>
          <w:ilvl w:val="0"/>
          <w:numId w:val="1"/>
        </w:numPr>
        <w:spacing w:before="0" w:after="0" w:line="360" w:lineRule="auto"/>
        <w:rPr>
          <w:rFonts w:ascii="黑体" w:hAnsi="黑体" w:eastAsia="黑体" w:cs="黑体"/>
          <w:sz w:val="32"/>
          <w:szCs w:val="32"/>
        </w:rPr>
      </w:pPr>
      <w:bookmarkStart w:id="201" w:name="_Toc7348"/>
      <w:bookmarkStart w:id="202" w:name="_Toc74919139"/>
      <w:bookmarkStart w:id="203" w:name="_Toc6396"/>
      <w:bookmarkStart w:id="204" w:name="_Toc25906"/>
      <w:bookmarkStart w:id="205" w:name="_Toc25995"/>
      <w:bookmarkStart w:id="206" w:name="_Toc1913"/>
      <w:r>
        <w:rPr>
          <w:rFonts w:hint="eastAsia" w:ascii="黑体" w:hAnsi="黑体" w:eastAsia="黑体" w:cs="黑体"/>
          <w:sz w:val="32"/>
          <w:szCs w:val="32"/>
        </w:rPr>
        <w:t>其他需要说明的问题</w:t>
      </w:r>
      <w:bookmarkEnd w:id="201"/>
      <w:bookmarkEnd w:id="202"/>
      <w:bookmarkEnd w:id="203"/>
      <w:bookmarkEnd w:id="204"/>
      <w:bookmarkEnd w:id="205"/>
      <w:bookmarkEnd w:id="206"/>
    </w:p>
    <w:p>
      <w:pPr>
        <w:pStyle w:val="19"/>
        <w:ind w:firstLine="640" w:firstLineChars="200"/>
      </w:pPr>
      <w:r>
        <w:rPr>
          <w:rFonts w:hint="eastAsia" w:ascii="仿宋_GB2312" w:eastAsia="仿宋_GB2312" w:cs="仿宋_GB2312"/>
          <w:sz w:val="32"/>
          <w:szCs w:val="32"/>
        </w:rPr>
        <w:t>需要说明的是：受多种因素影响，本次绩效自评工作还存在一定的局限性。一是定性指标考察受主观因素影响；二是指标体系设计缺乏标杆，科学性、全面性存在局限，为更加接近数据真实性，我局对各科室上报的自评内容多数采用；三是部分科室自评报告存在内容重复率高和内容不完整的情况，反映问题不够客观。</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微软雅黑"/>
    <w:panose1 w:val="02010609060101010101"/>
    <w:charset w:val="86"/>
    <w:family w:val="auto"/>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0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dUCbQ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v32apwuXDwAlxo5IonusdEK7a7tme1M&#10;cQIxZ7re8JZvaiTfMh/umUMz4MEYl3CHpZQGSUxvUVIZ9/Vf5zEeNYKXkgbNlVONWaJEftCoHQDD&#10;YLjB2A2GPqhbg26dYAwtTyYuuCAHs3RGfcEMrWIOuJjmyJTTMJi3oWtwzCAXq1UKQrdZFrb6wfII&#10;HcXzdnUIEDDpGkXplOi1Qr+lyvSzERv6z32KevofLB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JdUCbQtAgAAVwQAAA4AAAAAAAAAAQAgAAAAHwEAAGRycy9lMm9Eb2MueG1sUEsFBgAAAAAG&#10;AAYAWQEAAL4FAAAAAA==&#10;">
              <v:fill on="f" focussize="0,0"/>
              <v:stroke on="f" weight="0.5pt"/>
              <v:imagedata o:title=""/>
              <o:lock v:ext="edit" aspectratio="f"/>
              <v:textbox inset="0mm,0mm,0mm,0mm" style="mso-fit-shape-to-text:t;">
                <w:txbxContent>
                  <w:p>
                    <w:pPr>
                      <w:pStyle w:val="11"/>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2B3A44"/>
    <w:multiLevelType w:val="singleLevel"/>
    <w:tmpl w:val="C12B3A44"/>
    <w:lvl w:ilvl="0" w:tentative="0">
      <w:start w:val="3"/>
      <w:numFmt w:val="chineseCounting"/>
      <w:suff w:val="nothing"/>
      <w:lvlText w:val="（%1）"/>
      <w:lvlJc w:val="left"/>
      <w:rPr>
        <w:rFonts w:hint="eastAsia"/>
      </w:rPr>
    </w:lvl>
  </w:abstractNum>
  <w:abstractNum w:abstractNumId="1">
    <w:nsid w:val="E3033A02"/>
    <w:multiLevelType w:val="singleLevel"/>
    <w:tmpl w:val="E3033A02"/>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6323BD"/>
    <w:rsid w:val="0BD9724C"/>
    <w:rsid w:val="0D73177A"/>
    <w:rsid w:val="13E87DB0"/>
    <w:rsid w:val="18C1541D"/>
    <w:rsid w:val="20A0294B"/>
    <w:rsid w:val="28431ED9"/>
    <w:rsid w:val="2A367C73"/>
    <w:rsid w:val="2CEF680A"/>
    <w:rsid w:val="31D06F16"/>
    <w:rsid w:val="38374F22"/>
    <w:rsid w:val="3FFC7140"/>
    <w:rsid w:val="42AF1F40"/>
    <w:rsid w:val="44B10592"/>
    <w:rsid w:val="44F13A9E"/>
    <w:rsid w:val="45033826"/>
    <w:rsid w:val="484D7A94"/>
    <w:rsid w:val="52435977"/>
    <w:rsid w:val="5C166A24"/>
    <w:rsid w:val="64DD5358"/>
    <w:rsid w:val="75B37DD1"/>
    <w:rsid w:val="78E43695"/>
    <w:rsid w:val="79B91FD9"/>
    <w:rsid w:val="7B517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heading 1"/>
    <w:basedOn w:val="1"/>
    <w:next w:val="1"/>
    <w:qFormat/>
    <w:uiPriority w:val="0"/>
    <w:pPr>
      <w:keepNext/>
      <w:keepLines/>
      <w:spacing w:before="340" w:after="330" w:line="576" w:lineRule="auto"/>
      <w:outlineLvl w:val="0"/>
    </w:pPr>
    <w:rPr>
      <w:b/>
      <w:kern w:val="44"/>
      <w:sz w:val="44"/>
    </w:rPr>
  </w:style>
  <w:style w:type="paragraph" w:styleId="8">
    <w:name w:val="heading 2"/>
    <w:basedOn w:val="1"/>
    <w:next w:val="9"/>
    <w:unhideWhenUsed/>
    <w:qFormat/>
    <w:uiPriority w:val="0"/>
    <w:pPr>
      <w:keepNext/>
      <w:keepLines/>
      <w:adjustRightInd w:val="0"/>
      <w:snapToGrid w:val="0"/>
      <w:spacing w:before="100" w:after="100" w:line="360" w:lineRule="auto"/>
      <w:outlineLvl w:val="1"/>
    </w:pPr>
    <w:rPr>
      <w:rFonts w:ascii="Times New Roman" w:hAnsi="Times New Roman" w:eastAsia="仿宋" w:cs="Times New Roman"/>
      <w:b/>
      <w:sz w:val="32"/>
      <w:szCs w:val="32"/>
    </w:rPr>
  </w:style>
  <w:style w:type="paragraph" w:styleId="9">
    <w:name w:val="heading 3"/>
    <w:basedOn w:val="1"/>
    <w:next w:val="1"/>
    <w:unhideWhenUsed/>
    <w:qFormat/>
    <w:uiPriority w:val="0"/>
    <w:pPr>
      <w:keepNext/>
      <w:keepLines/>
      <w:adjustRightInd w:val="0"/>
      <w:snapToGrid w:val="0"/>
      <w:spacing w:before="100" w:after="100" w:line="360" w:lineRule="auto"/>
      <w:ind w:firstLine="560" w:firstLineChars="200"/>
      <w:outlineLvl w:val="2"/>
    </w:pPr>
    <w:rPr>
      <w:rFonts w:ascii="Times New Roman" w:hAnsi="Times New Roman" w:eastAsia="仿宋" w:cs="Times New Roman"/>
      <w:b/>
      <w:sz w:val="32"/>
      <w:szCs w:val="3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ind w:firstLine="420" w:firstLineChars="200"/>
    </w:pPr>
    <w:rPr>
      <w:rFonts w:ascii="Times New Roman" w:hAnsi="Times New Roman" w:eastAsia="宋体" w:cs="Times New Roman"/>
    </w:rPr>
  </w:style>
  <w:style w:type="paragraph" w:styleId="3">
    <w:name w:val="Body Text Indent"/>
    <w:basedOn w:val="1"/>
    <w:next w:val="4"/>
    <w:qFormat/>
    <w:uiPriority w:val="0"/>
    <w:pPr>
      <w:spacing w:after="120"/>
      <w:ind w:left="420" w:leftChars="200"/>
    </w:pPr>
    <w:rPr>
      <w:rFonts w:ascii="Times New Roman" w:hAnsi="Times New Roman" w:eastAsia="宋体" w:cs="Times New Roman"/>
    </w:rPr>
  </w:style>
  <w:style w:type="paragraph" w:styleId="4">
    <w:name w:val="Normal Indent"/>
    <w:basedOn w:val="1"/>
    <w:qFormat/>
    <w:uiPriority w:val="0"/>
    <w:pPr>
      <w:spacing w:line="360" w:lineRule="auto"/>
      <w:ind w:firstLine="567"/>
    </w:pPr>
    <w:rPr>
      <w:rFonts w:hAnsi="宋体"/>
      <w:kern w:val="0"/>
      <w:sz w:val="28"/>
      <w:szCs w:val="20"/>
    </w:rPr>
  </w:style>
  <w:style w:type="paragraph" w:styleId="5">
    <w:name w:val="Body Text First Indent"/>
    <w:basedOn w:val="6"/>
    <w:next w:val="1"/>
    <w:qFormat/>
    <w:uiPriority w:val="0"/>
    <w:pPr>
      <w:ind w:firstLine="420" w:firstLineChars="100"/>
    </w:pPr>
  </w:style>
  <w:style w:type="paragraph" w:styleId="6">
    <w:name w:val="Body Text"/>
    <w:basedOn w:val="1"/>
    <w:next w:val="1"/>
    <w:qFormat/>
    <w:uiPriority w:val="0"/>
    <w:pPr>
      <w:spacing w:after="120"/>
    </w:pPr>
  </w:style>
  <w:style w:type="paragraph" w:styleId="10">
    <w:name w:val="toc 3"/>
    <w:basedOn w:val="1"/>
    <w:next w:val="1"/>
    <w:qFormat/>
    <w:uiPriority w:val="0"/>
    <w:pPr>
      <w:ind w:left="840" w:leftChars="400"/>
    </w:pPr>
  </w:style>
  <w:style w:type="paragraph" w:styleId="11">
    <w:name w:val="footer"/>
    <w:basedOn w:val="1"/>
    <w:qFormat/>
    <w:uiPriority w:val="0"/>
    <w:pPr>
      <w:tabs>
        <w:tab w:val="center" w:pos="4153"/>
        <w:tab w:val="right" w:pos="8306"/>
      </w:tabs>
      <w:snapToGrid w:val="0"/>
      <w:jc w:val="left"/>
    </w:pPr>
    <w:rPr>
      <w:sz w:val="18"/>
    </w:rPr>
  </w:style>
  <w:style w:type="paragraph" w:styleId="12">
    <w:name w:val="toc 1"/>
    <w:basedOn w:val="1"/>
    <w:next w:val="1"/>
    <w:qFormat/>
    <w:uiPriority w:val="39"/>
  </w:style>
  <w:style w:type="paragraph" w:styleId="13">
    <w:name w:val="toc 2"/>
    <w:basedOn w:val="1"/>
    <w:next w:val="1"/>
    <w:qFormat/>
    <w:uiPriority w:val="39"/>
    <w:pPr>
      <w:ind w:left="420" w:leftChars="200"/>
    </w:pPr>
  </w:style>
  <w:style w:type="paragraph" w:styleId="14">
    <w:name w:val="Body Text 2"/>
    <w:basedOn w:val="1"/>
    <w:qFormat/>
    <w:uiPriority w:val="0"/>
    <w:pPr>
      <w:spacing w:after="120" w:line="480" w:lineRule="auto"/>
    </w:pPr>
  </w:style>
  <w:style w:type="paragraph" w:styleId="1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17">
    <w:name w:val="Table Grid"/>
    <w:basedOn w:val="1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Body Text First Indent1"/>
    <w:basedOn w:val="6"/>
    <w:qFormat/>
    <w:uiPriority w:val="0"/>
    <w:pPr>
      <w:ind w:firstLine="420" w:firstLineChars="1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2022-05-05T02:15:18Z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