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三门峡市市场监督管理局</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自评单位：三门峡市市场监督管理局</w:t>
      </w:r>
    </w:p>
    <w:p>
      <w:pPr>
        <w:spacing w:line="360" w:lineRule="auto"/>
        <w:ind w:firstLine="1606" w:firstLineChars="5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28"/>
          <w:szCs w:val="28"/>
        </w:rPr>
      </w:sdtEndPr>
      <w:sdtContent>
        <w:p>
          <w:pPr>
            <w:jc w:val="center"/>
            <w:rPr>
              <w:rFonts w:ascii="黑体" w:hAnsi="黑体" w:eastAsia="黑体" w:cs="黑体"/>
              <w:b/>
              <w:bCs/>
              <w:sz w:val="40"/>
              <w:szCs w:val="40"/>
            </w:rPr>
          </w:pPr>
          <w:bookmarkStart w:id="0" w:name="_Toc6149"/>
          <w:r>
            <w:rPr>
              <w:rFonts w:hint="eastAsia" w:ascii="黑体" w:hAnsi="黑体" w:eastAsia="黑体" w:cs="黑体"/>
              <w:b/>
              <w:bCs/>
              <w:sz w:val="40"/>
              <w:szCs w:val="40"/>
            </w:rPr>
            <w:t>目录</w:t>
          </w:r>
        </w:p>
        <w:p>
          <w:pPr>
            <w:pStyle w:val="14"/>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p>
        <w:p>
          <w:pPr>
            <w:pStyle w:val="14"/>
            <w:tabs>
              <w:tab w:val="right" w:leader="dot" w:pos="8306"/>
            </w:tabs>
            <w:rPr>
              <w:rFonts w:ascii="黑体" w:hAnsi="黑体" w:eastAsia="黑体" w:cs="黑体"/>
              <w:sz w:val="28"/>
              <w:szCs w:val="28"/>
            </w:rPr>
          </w:pPr>
          <w:r>
            <w:fldChar w:fldCharType="begin"/>
          </w:r>
          <w:r>
            <w:instrText xml:space="preserve"> HYPERLINK \l "_Toc30106"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_Toc30106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"_Toc32170"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_Toc32170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"_Toc27886"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_Toc27886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"_Toc10680"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_Toc10680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"_Toc12488"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_Toc12488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"_Toc3002"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_Toc3002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"_Toc28974"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_Toc28974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"_Toc18917"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_Toc18917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"_Toc8381"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_Toc8381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"_Toc17583"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_Toc17583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"_Toc15639"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单位自评结果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_Toc15639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"_Toc19991"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_Toc19991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"_Toc17393"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_Toc17393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7</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"_Toc10493"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_Toc10493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"_Toc28069"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_Toc28069 \h </w:instrText>
          </w:r>
          <w:r>
            <w:rPr>
              <w:rFonts w:hint="eastAsia" w:ascii="黑体" w:hAnsi="黑体" w:eastAsia="黑体" w:cs="黑体"/>
              <w:sz w:val="28"/>
              <w:szCs w:val="28"/>
            </w:rPr>
            <w:fldChar w:fldCharType="separate"/>
          </w: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8</w:t>
          </w:r>
          <w:r>
            <w:rPr>
              <w:rFonts w:hint="eastAsia" w:ascii="黑体" w:hAnsi="黑体" w:eastAsia="黑体" w:cs="黑体"/>
              <w:sz w:val="28"/>
              <w:szCs w:val="28"/>
            </w:rPr>
            <w:t xml:space="preserve">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spacing w:line="360" w:lineRule="auto"/>
            <w:jc w:val="center"/>
            <w:rPr>
              <w:rFonts w:ascii="华文中宋" w:hAnsi="华文中宋" w:eastAsia="华文中宋" w:cs="方正小标宋简体"/>
              <w:b/>
              <w:szCs w:val="44"/>
            </w:rPr>
          </w:pPr>
          <w:r>
            <w:rPr>
              <w:rFonts w:hint="eastAsia" w:ascii="黑体" w:hAnsi="黑体" w:eastAsia="黑体" w:cs="黑体"/>
              <w:sz w:val="28"/>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3329"/>
      <w:bookmarkStart w:id="2" w:name="_Toc4141"/>
      <w:r>
        <w:rPr>
          <w:rFonts w:hint="eastAsia" w:ascii="华文中宋" w:hAnsi="华文中宋" w:eastAsia="华文中宋" w:cs="方正小标宋简体"/>
          <w:b/>
          <w:sz w:val="44"/>
          <w:szCs w:val="44"/>
        </w:rPr>
        <w:t>三门峡市市场监督管理局</w:t>
      </w:r>
      <w:bookmarkEnd w:id="1"/>
      <w:bookmarkEnd w:id="2"/>
    </w:p>
    <w:p>
      <w:pPr>
        <w:spacing w:line="360" w:lineRule="auto"/>
        <w:jc w:val="center"/>
        <w:outlineLvl w:val="0"/>
        <w:rPr>
          <w:rFonts w:ascii="华文中宋" w:hAnsi="华文中宋" w:eastAsia="华文中宋" w:cs="方正小标宋简体"/>
          <w:b/>
          <w:sz w:val="44"/>
          <w:szCs w:val="44"/>
        </w:rPr>
      </w:pPr>
      <w:bookmarkStart w:id="3" w:name="_Toc24644"/>
      <w:bookmarkStart w:id="4" w:name="_Toc23711"/>
      <w:bookmarkStart w:id="5" w:name="_Toc15802"/>
      <w:bookmarkStart w:id="6" w:name="_Toc31605"/>
      <w:bookmarkStart w:id="7" w:name="_Toc14085"/>
      <w:bookmarkStart w:id="8" w:name="_Toc24313"/>
      <w:bookmarkStart w:id="9" w:name="_Toc851"/>
      <w:bookmarkStart w:id="10" w:name="_Toc27784"/>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3"/>
      <w:bookmarkEnd w:id="4"/>
      <w:bookmarkEnd w:id="5"/>
      <w:bookmarkEnd w:id="6"/>
      <w:bookmarkEnd w:id="7"/>
      <w:bookmarkEnd w:id="8"/>
      <w:bookmarkEnd w:id="9"/>
      <w:bookmarkEnd w:id="10"/>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 xml:space="preserve"> 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w:t>
      </w:r>
      <w:r>
        <w:rPr>
          <w:rFonts w:hint="eastAsia" w:ascii="仿宋_GB2312" w:eastAsia="仿宋_GB2312" w:cs="仿宋_GB2312"/>
          <w:sz w:val="32"/>
          <w:szCs w:val="32"/>
          <w:lang w:eastAsia="zh-CN"/>
        </w:rPr>
        <w:t>，</w:t>
      </w:r>
      <w:r>
        <w:rPr>
          <w:rFonts w:hint="eastAsia" w:ascii="仿宋_GB2312" w:eastAsia="仿宋_GB2312" w:cs="仿宋_GB2312"/>
          <w:sz w:val="32"/>
          <w:szCs w:val="32"/>
        </w:rPr>
        <w:t>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）文件的相关要求，我单位高度重视，成立了绩效自评工作领导小组，通过基础资料收集、问卷调查、数据汇总分析等工作程序，对部门整体的情况进行全面了解，根据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7"/>
        <w:keepNext w:val="0"/>
        <w:keepLines w:val="0"/>
        <w:spacing w:before="0" w:after="0" w:line="360" w:lineRule="auto"/>
        <w:rPr>
          <w:rFonts w:ascii="黑体" w:hAnsi="黑体" w:eastAsia="黑体" w:cs="黑体"/>
          <w:sz w:val="32"/>
          <w:szCs w:val="32"/>
        </w:rPr>
      </w:pPr>
      <w:bookmarkStart w:id="11" w:name="_Toc13873"/>
      <w:bookmarkStart w:id="12" w:name="_Toc15017"/>
      <w:bookmarkStart w:id="13" w:name="_Toc30106"/>
      <w:r>
        <w:rPr>
          <w:rFonts w:hint="eastAsia" w:ascii="黑体" w:hAnsi="黑体" w:eastAsia="黑体" w:cs="黑体"/>
          <w:sz w:val="32"/>
          <w:szCs w:val="32"/>
        </w:rPr>
        <w:t>一、项目支出基本情况</w:t>
      </w:r>
      <w:bookmarkEnd w:id="11"/>
      <w:bookmarkEnd w:id="12"/>
      <w:bookmarkEnd w:id="13"/>
    </w:p>
    <w:p>
      <w:pPr>
        <w:pStyle w:val="8"/>
        <w:keepNext w:val="0"/>
        <w:keepLines w:val="0"/>
        <w:adjustRightInd/>
        <w:snapToGrid/>
        <w:spacing w:before="0" w:after="0"/>
        <w:rPr>
          <w:rFonts w:ascii="黑体" w:hAnsi="黑体" w:eastAsia="黑体" w:cs="黑体"/>
          <w:sz w:val="30"/>
          <w:szCs w:val="30"/>
        </w:rPr>
      </w:pPr>
      <w:bookmarkStart w:id="14" w:name="_Toc1381"/>
      <w:bookmarkStart w:id="15" w:name="_Toc19332"/>
      <w:bookmarkStart w:id="16" w:name="_Toc32170"/>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4"/>
      <w:bookmarkEnd w:id="15"/>
      <w:bookmarkEnd w:id="16"/>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w:t>
      </w:r>
      <w:r>
        <w:rPr>
          <w:rFonts w:hint="eastAsia" w:ascii="仿宋_GB2312" w:eastAsia="仿宋_GB2312" w:cs="仿宋_GB2312"/>
          <w:sz w:val="32"/>
          <w:szCs w:val="32"/>
          <w:lang w:eastAsia="zh-CN"/>
        </w:rPr>
        <w:t>：</w:t>
      </w:r>
      <w:r>
        <w:rPr>
          <w:rFonts w:hint="eastAsia" w:ascii="仿宋_GB2312" w:eastAsia="仿宋_GB2312" w:cs="仿宋_GB2312"/>
          <w:sz w:val="32"/>
          <w:szCs w:val="32"/>
        </w:rPr>
        <w:t>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市场秩序执法综合监管经费，年初预算数为预算为</w:t>
      </w:r>
      <w:r>
        <w:rPr>
          <w:rFonts w:hint="eastAsia" w:ascii="仿宋_GB2312" w:eastAsia="仿宋_GB2312" w:cs="仿宋_GB2312"/>
          <w:sz w:val="32"/>
          <w:szCs w:val="32"/>
          <w:lang w:val="en-US" w:eastAsia="zh-CN"/>
        </w:rPr>
        <w:t>188.4</w:t>
      </w:r>
      <w:r>
        <w:rPr>
          <w:rFonts w:hint="eastAsia" w:ascii="仿宋_GB2312" w:eastAsia="仿宋_GB2312" w:cs="仿宋_GB2312"/>
          <w:sz w:val="32"/>
          <w:szCs w:val="32"/>
        </w:rPr>
        <w:t>万元，全年财政拨款</w:t>
      </w:r>
      <w:r>
        <w:rPr>
          <w:rFonts w:hint="eastAsia" w:ascii="仿宋_GB2312" w:eastAsia="仿宋_GB2312" w:cs="仿宋_GB2312"/>
          <w:sz w:val="32"/>
          <w:szCs w:val="32"/>
          <w:lang w:val="en-US" w:eastAsia="zh-CN"/>
        </w:rPr>
        <w:t>188.4</w:t>
      </w:r>
      <w:r>
        <w:rPr>
          <w:rFonts w:hint="eastAsia" w:ascii="仿宋_GB2312" w:eastAsia="仿宋_GB2312" w:cs="仿宋_GB2312"/>
          <w:sz w:val="32"/>
          <w:szCs w:val="32"/>
        </w:rPr>
        <w:t>万元，全年项目实际支出</w:t>
      </w:r>
      <w:r>
        <w:rPr>
          <w:rFonts w:hint="eastAsia" w:ascii="仿宋_GB2312" w:eastAsia="仿宋_GB2312" w:cs="仿宋_GB2312"/>
          <w:sz w:val="32"/>
          <w:szCs w:val="32"/>
          <w:lang w:val="en-US" w:eastAsia="zh-CN"/>
        </w:rPr>
        <w:t>188.4</w:t>
      </w:r>
      <w:r>
        <w:rPr>
          <w:rFonts w:hint="eastAsia" w:ascii="仿宋_GB2312" w:eastAsia="仿宋_GB2312" w:cs="仿宋_GB2312"/>
          <w:sz w:val="32"/>
          <w:szCs w:val="32"/>
        </w:rPr>
        <w:t>万元，预算执行率100%。</w:t>
      </w:r>
    </w:p>
    <w:p>
      <w:pPr>
        <w:pStyle w:val="8"/>
        <w:keepNext w:val="0"/>
        <w:keepLines w:val="0"/>
        <w:numPr>
          <w:ilvl w:val="0"/>
          <w:numId w:val="1"/>
        </w:numPr>
        <w:adjustRightInd/>
        <w:snapToGrid/>
        <w:spacing w:before="0" w:after="0"/>
        <w:rPr>
          <w:rFonts w:hint="eastAsia" w:ascii="黑体" w:hAnsi="黑体" w:eastAsia="黑体" w:cs="黑体"/>
          <w:sz w:val="30"/>
          <w:szCs w:val="30"/>
        </w:rPr>
      </w:pPr>
      <w:bookmarkStart w:id="17" w:name="_Toc843"/>
      <w:bookmarkStart w:id="18" w:name="_Toc27886"/>
      <w:bookmarkStart w:id="19" w:name="_Toc839"/>
      <w:r>
        <w:rPr>
          <w:rFonts w:hint="eastAsia" w:ascii="黑体" w:hAnsi="黑体" w:eastAsia="黑体" w:cs="黑体"/>
          <w:sz w:val="30"/>
          <w:szCs w:val="30"/>
        </w:rPr>
        <w:t>项目内容</w:t>
      </w:r>
      <w:bookmarkEnd w:id="17"/>
      <w:bookmarkEnd w:id="18"/>
      <w:bookmarkEnd w:id="19"/>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600" w:lineRule="exact"/>
        <w:ind w:firstLine="643" w:firstLineChars="200"/>
        <w:jc w:val="both"/>
        <w:textAlignment w:val="auto"/>
        <w:rPr>
          <w:rFonts w:hint="eastAsia" w:ascii="仿宋_GB2312" w:hAnsi="仿宋_GB2312" w:eastAsia="仿宋_GB2312" w:cs="仿宋_GB2312"/>
          <w:b/>
          <w:bCs/>
          <w:color w:val="000000" w:themeColor="text1"/>
          <w:spacing w:val="0"/>
          <w:w w:val="100"/>
          <w:sz w:val="32"/>
          <w:szCs w:val="32"/>
          <w:lang w:val="en-US" w:eastAsia="zh-CN"/>
          <w14:textFill>
            <w14:solidFill>
              <w14:schemeClr w14:val="tx1"/>
            </w14:solidFill>
          </w14:textFill>
        </w:rPr>
      </w:pPr>
      <w:r>
        <w:rPr>
          <w:rFonts w:hint="eastAsia" w:ascii="仿宋_GB2312" w:hAnsi="仿宋_GB2312" w:eastAsia="仿宋_GB2312" w:cs="仿宋_GB2312"/>
          <w:b/>
          <w:bCs/>
          <w:color w:val="auto"/>
          <w:w w:val="100"/>
          <w:sz w:val="32"/>
          <w:szCs w:val="32"/>
          <w:lang w:val="en-US" w:eastAsia="zh-CN"/>
        </w:rPr>
        <w:t>1、持续深化商事制度改革，各类市场主体平稳增长。</w:t>
      </w:r>
      <w:r>
        <w:rPr>
          <w:rFonts w:hint="eastAsia" w:ascii="仿宋_GB2312" w:hAnsi="仿宋_GB2312" w:eastAsia="仿宋_GB2312" w:cs="仿宋_GB2312"/>
          <w:b w:val="0"/>
          <w:bCs w:val="0"/>
          <w:color w:val="auto"/>
          <w:w w:val="100"/>
          <w:sz w:val="32"/>
          <w:szCs w:val="32"/>
          <w:lang w:val="en-US" w:eastAsia="zh-CN"/>
        </w:rPr>
        <w:t>全市实有各类市场主体突破17万户，达到173155户，同比增长10.33%，新增个体工商户</w:t>
      </w:r>
      <w:r>
        <w:rPr>
          <w:rFonts w:hint="eastAsia" w:ascii="仿宋_GB2312" w:hAnsi="仿宋_GB2312" w:eastAsia="仿宋_GB2312" w:cs="仿宋_GB2312"/>
          <w:b w:val="0"/>
          <w:bCs w:val="0"/>
          <w:color w:val="auto"/>
          <w:spacing w:val="0"/>
          <w:w w:val="100"/>
          <w:sz w:val="32"/>
          <w:szCs w:val="32"/>
          <w:lang w:val="en-US" w:eastAsia="zh-CN"/>
        </w:rPr>
        <w:t>4530户，超额完成市政府下达的3000户目标，完成目标任务的151%。持续深化改革，不断降低市场准入门槛。2、</w:t>
      </w:r>
      <w:r>
        <w:rPr>
          <w:rFonts w:hint="eastAsia" w:ascii="仿宋_GB2312" w:hAnsi="仿宋_GB2312" w:eastAsia="仿宋_GB2312" w:cs="仿宋_GB2312"/>
          <w:b/>
          <w:bCs/>
          <w:color w:val="auto"/>
          <w:spacing w:val="0"/>
          <w:w w:val="100"/>
          <w:sz w:val="32"/>
          <w:szCs w:val="32"/>
          <w:lang w:val="en-US" w:eastAsia="zh-CN"/>
        </w:rPr>
        <w:t>强化特种设备监督检查，特种设备安全形势持续向好。</w:t>
      </w:r>
      <w:r>
        <w:rPr>
          <w:rFonts w:hint="eastAsia" w:ascii="仿宋_GB2312" w:hAnsi="仿宋_GB2312" w:eastAsia="仿宋_GB2312" w:cs="仿宋_GB2312"/>
          <w:b w:val="0"/>
          <w:bCs w:val="0"/>
          <w:color w:val="auto"/>
          <w:spacing w:val="0"/>
          <w:w w:val="100"/>
          <w:sz w:val="32"/>
          <w:szCs w:val="32"/>
          <w:lang w:val="en-US" w:eastAsia="zh-CN"/>
        </w:rPr>
        <w:t>及时下发并严格执行2021年度特种设备日常监督检查计划，对15家特种设备重点生产（含制造、安装、改造、维修）单位进行日常监督检查，检查覆盖率达到100%。</w:t>
      </w:r>
      <w:r>
        <w:rPr>
          <w:rFonts w:hint="eastAsia" w:ascii="仿宋_GB2312" w:hAnsi="仿宋_GB2312" w:eastAsia="仿宋_GB2312" w:cs="仿宋_GB2312"/>
          <w:b w:val="0"/>
          <w:bCs w:val="0"/>
          <w:color w:val="auto"/>
          <w:w w:val="100"/>
          <w:sz w:val="32"/>
          <w:szCs w:val="32"/>
        </w:rPr>
        <w:t>认真开展</w:t>
      </w:r>
      <w:r>
        <w:rPr>
          <w:rFonts w:hint="eastAsia" w:ascii="仿宋_GB2312" w:hAnsi="仿宋_GB2312" w:eastAsia="仿宋_GB2312" w:cs="仿宋_GB2312"/>
          <w:b w:val="0"/>
          <w:bCs w:val="0"/>
          <w:color w:val="auto"/>
          <w:w w:val="100"/>
          <w:sz w:val="32"/>
          <w:szCs w:val="32"/>
          <w:lang w:val="en-US" w:eastAsia="zh-CN"/>
        </w:rPr>
        <w:t>大型游乐设施、起重机械、电梯鼓式制动器、液化石油气瓶等隐患排查治理工作</w:t>
      </w:r>
      <w:r>
        <w:rPr>
          <w:rFonts w:hint="eastAsia" w:ascii="仿宋_GB2312" w:hAnsi="仿宋_GB2312" w:eastAsia="仿宋_GB2312" w:cs="仿宋_GB2312"/>
          <w:b w:val="0"/>
          <w:bCs w:val="0"/>
          <w:color w:val="auto"/>
          <w:w w:val="100"/>
          <w:sz w:val="32"/>
          <w:szCs w:val="32"/>
          <w:lang w:eastAsia="zh-CN"/>
        </w:rPr>
        <w:t>，</w:t>
      </w:r>
      <w:r>
        <w:rPr>
          <w:rFonts w:hint="eastAsia" w:ascii="仿宋_GB2312" w:hAnsi="仿宋_GB2312" w:eastAsia="仿宋_GB2312" w:cs="仿宋_GB2312"/>
          <w:b w:val="0"/>
          <w:bCs w:val="0"/>
          <w:color w:val="auto"/>
          <w:w w:val="100"/>
          <w:sz w:val="32"/>
          <w:szCs w:val="32"/>
          <w:lang w:val="en-US" w:eastAsia="zh-CN"/>
        </w:rPr>
        <w:t>全年共出动执法人员2090人次，检查特种设备生产使用单位781家，检查设备数量6822台。</w:t>
      </w:r>
      <w:r>
        <w:rPr>
          <w:rFonts w:hint="eastAsia" w:ascii="仿宋_GB2312" w:hAnsi="仿宋_GB2312" w:eastAsia="仿宋_GB2312" w:cs="仿宋_GB2312"/>
          <w:b w:val="0"/>
          <w:bCs w:val="0"/>
          <w:color w:val="auto"/>
          <w:w w:val="100"/>
          <w:sz w:val="32"/>
          <w:szCs w:val="32"/>
        </w:rPr>
        <w:t>开展</w:t>
      </w:r>
      <w:r>
        <w:rPr>
          <w:rFonts w:hint="eastAsia" w:ascii="仿宋_GB2312" w:hAnsi="仿宋_GB2312" w:eastAsia="仿宋_GB2312" w:cs="仿宋_GB2312"/>
          <w:b w:val="0"/>
          <w:bCs w:val="0"/>
          <w:color w:val="auto"/>
          <w:w w:val="100"/>
          <w:sz w:val="32"/>
          <w:szCs w:val="32"/>
          <w:lang w:eastAsia="zh-CN"/>
        </w:rPr>
        <w:t>冬季</w:t>
      </w:r>
      <w:r>
        <w:rPr>
          <w:rFonts w:hint="eastAsia" w:ascii="仿宋_GB2312" w:hAnsi="仿宋_GB2312" w:eastAsia="仿宋_GB2312" w:cs="仿宋_GB2312"/>
          <w:b w:val="0"/>
          <w:bCs w:val="0"/>
          <w:color w:val="auto"/>
          <w:w w:val="100"/>
          <w:sz w:val="32"/>
          <w:szCs w:val="32"/>
        </w:rPr>
        <w:t>锅炉</w:t>
      </w:r>
      <w:r>
        <w:rPr>
          <w:rFonts w:hint="eastAsia" w:ascii="仿宋_GB2312" w:hAnsi="仿宋_GB2312" w:eastAsia="仿宋_GB2312" w:cs="仿宋_GB2312"/>
          <w:b w:val="0"/>
          <w:bCs w:val="0"/>
          <w:color w:val="auto"/>
          <w:w w:val="100"/>
          <w:sz w:val="32"/>
          <w:szCs w:val="32"/>
          <w:lang w:val="en-US" w:eastAsia="zh-CN"/>
        </w:rPr>
        <w:t>专项</w:t>
      </w:r>
      <w:r>
        <w:rPr>
          <w:rFonts w:hint="eastAsia" w:ascii="仿宋_GB2312" w:hAnsi="仿宋_GB2312" w:eastAsia="仿宋_GB2312" w:cs="仿宋_GB2312"/>
          <w:b w:val="0"/>
          <w:bCs w:val="0"/>
          <w:color w:val="auto"/>
          <w:w w:val="100"/>
          <w:sz w:val="32"/>
          <w:szCs w:val="32"/>
        </w:rPr>
        <w:t>检查</w:t>
      </w:r>
      <w:r>
        <w:rPr>
          <w:rFonts w:hint="eastAsia" w:ascii="仿宋_GB2312" w:hAnsi="仿宋_GB2312" w:eastAsia="仿宋_GB2312" w:cs="仿宋_GB2312"/>
          <w:b w:val="0"/>
          <w:bCs w:val="0"/>
          <w:color w:val="auto"/>
          <w:w w:val="100"/>
          <w:sz w:val="32"/>
          <w:szCs w:val="32"/>
          <w:lang w:eastAsia="zh-CN"/>
        </w:rPr>
        <w:t>，</w:t>
      </w:r>
      <w:r>
        <w:rPr>
          <w:rFonts w:hint="eastAsia" w:ascii="仿宋_GB2312" w:hAnsi="仿宋_GB2312" w:eastAsia="仿宋_GB2312" w:cs="仿宋_GB2312"/>
          <w:b w:val="0"/>
          <w:bCs w:val="0"/>
          <w:color w:val="auto"/>
          <w:w w:val="100"/>
          <w:sz w:val="32"/>
          <w:szCs w:val="32"/>
          <w:lang w:val="en-US" w:eastAsia="zh-CN"/>
        </w:rPr>
        <w:t>组织</w:t>
      </w:r>
      <w:r>
        <w:rPr>
          <w:rFonts w:hint="eastAsia" w:ascii="仿宋_GB2312" w:hAnsi="仿宋_GB2312" w:eastAsia="仿宋_GB2312" w:cs="仿宋_GB2312"/>
          <w:b w:val="0"/>
          <w:bCs w:val="0"/>
          <w:color w:val="auto"/>
          <w:w w:val="100"/>
          <w:sz w:val="32"/>
          <w:szCs w:val="32"/>
          <w:lang w:eastAsia="zh-CN"/>
        </w:rPr>
        <w:t>各县（市、分）局</w:t>
      </w:r>
      <w:r>
        <w:rPr>
          <w:rFonts w:hint="eastAsia" w:ascii="仿宋_GB2312" w:hAnsi="仿宋_GB2312" w:eastAsia="仿宋_GB2312" w:cs="仿宋_GB2312"/>
          <w:b w:val="0"/>
          <w:bCs w:val="0"/>
          <w:color w:val="auto"/>
          <w:w w:val="100"/>
          <w:sz w:val="32"/>
          <w:szCs w:val="32"/>
          <w:lang w:val="en-US" w:eastAsia="zh-CN"/>
        </w:rPr>
        <w:t>对辖区在用锅炉使用单位的压力管道进行全面排查整治，</w:t>
      </w:r>
      <w:r>
        <w:rPr>
          <w:rFonts w:hint="eastAsia" w:ascii="仿宋_GB2312" w:hAnsi="仿宋_GB2312" w:eastAsia="仿宋_GB2312" w:cs="仿宋_GB2312"/>
          <w:b w:val="0"/>
          <w:bCs w:val="0"/>
          <w:color w:val="auto"/>
          <w:w w:val="100"/>
          <w:sz w:val="32"/>
          <w:szCs w:val="32"/>
        </w:rPr>
        <w:t>确保冬季特种设备安全平稳运行</w:t>
      </w:r>
      <w:r>
        <w:rPr>
          <w:rFonts w:hint="eastAsia" w:ascii="仿宋_GB2312" w:hAnsi="仿宋_GB2312" w:eastAsia="仿宋_GB2312" w:cs="仿宋_GB2312"/>
          <w:b w:val="0"/>
          <w:bCs w:val="0"/>
          <w:color w:val="auto"/>
          <w:w w:val="100"/>
          <w:sz w:val="32"/>
          <w:szCs w:val="32"/>
          <w:lang w:eastAsia="zh-CN"/>
        </w:rPr>
        <w:t>，</w:t>
      </w:r>
      <w:r>
        <w:rPr>
          <w:rFonts w:hint="eastAsia" w:ascii="仿宋_GB2312" w:hAnsi="仿宋_GB2312" w:eastAsia="仿宋_GB2312" w:cs="仿宋_GB2312"/>
          <w:b w:val="0"/>
          <w:bCs w:val="0"/>
          <w:color w:val="auto"/>
          <w:w w:val="100"/>
          <w:sz w:val="32"/>
          <w:szCs w:val="32"/>
          <w:lang w:val="en-US" w:eastAsia="zh-CN"/>
        </w:rPr>
        <w:t>检查锅炉56台，检查换热站12个。</w:t>
      </w:r>
      <w:r>
        <w:rPr>
          <w:rFonts w:hint="eastAsia" w:ascii="仿宋_GB2312" w:hAnsi="仿宋_GB2312" w:eastAsia="仿宋_GB2312" w:cs="仿宋_GB2312"/>
          <w:b w:val="0"/>
          <w:bCs w:val="0"/>
          <w:color w:val="auto"/>
          <w:w w:val="100"/>
          <w:sz w:val="32"/>
          <w:szCs w:val="32"/>
        </w:rPr>
        <w:t>全面推进“互联网+电梯”监管工作</w:t>
      </w:r>
      <w:r>
        <w:rPr>
          <w:rFonts w:hint="eastAsia" w:ascii="仿宋_GB2312" w:hAnsi="仿宋_GB2312" w:eastAsia="仿宋_GB2312" w:cs="仿宋_GB2312"/>
          <w:b w:val="0"/>
          <w:bCs w:val="0"/>
          <w:color w:val="auto"/>
          <w:w w:val="100"/>
          <w:sz w:val="32"/>
          <w:szCs w:val="32"/>
          <w:lang w:eastAsia="zh-CN"/>
        </w:rPr>
        <w:t>，</w:t>
      </w:r>
      <w:r>
        <w:rPr>
          <w:rFonts w:hint="eastAsia" w:ascii="仿宋_GB2312" w:hAnsi="仿宋_GB2312" w:eastAsia="仿宋_GB2312" w:cs="仿宋_GB2312"/>
          <w:b w:val="0"/>
          <w:bCs w:val="0"/>
          <w:color w:val="auto"/>
          <w:w w:val="100"/>
          <w:sz w:val="32"/>
          <w:szCs w:val="32"/>
        </w:rPr>
        <w:t>对纳入监管维保单位进行日常监督检查，检查覆盖率达100％。 96333 电梯应急处置平台完成7769部电梯的信息录入工作，全市共接96333应急热线740起，其中电梯困人电话225，解救被困人525人，困人处置成功率100%</w:t>
      </w:r>
      <w:r>
        <w:rPr>
          <w:rFonts w:hint="eastAsia" w:ascii="仿宋_GB2312" w:hAnsi="仿宋_GB2312" w:eastAsia="仿宋_GB2312" w:cs="仿宋_GB2312"/>
          <w:b w:val="0"/>
          <w:bCs w:val="0"/>
          <w:color w:val="auto"/>
          <w:w w:val="100"/>
          <w:sz w:val="32"/>
          <w:szCs w:val="32"/>
          <w:lang w:eastAsia="zh-CN"/>
        </w:rPr>
        <w:t>。</w:t>
      </w:r>
      <w:r>
        <w:rPr>
          <w:rFonts w:hint="eastAsia" w:ascii="仿宋_GB2312" w:hAnsi="仿宋_GB2312" w:eastAsia="仿宋_GB2312" w:cs="仿宋_GB2312"/>
          <w:b w:val="0"/>
          <w:bCs w:val="0"/>
          <w:color w:val="auto"/>
          <w:w w:val="100"/>
          <w:sz w:val="32"/>
          <w:szCs w:val="32"/>
          <w:lang w:val="en-US" w:eastAsia="zh-CN"/>
        </w:rPr>
        <w:t>3、</w:t>
      </w:r>
      <w:r>
        <w:rPr>
          <w:rFonts w:hint="eastAsia" w:ascii="仿宋_GB2312" w:hAnsi="仿宋_GB2312" w:eastAsia="仿宋_GB2312" w:cs="仿宋_GB2312"/>
          <w:b/>
          <w:bCs/>
          <w:color w:val="auto"/>
          <w:spacing w:val="0"/>
          <w:w w:val="100"/>
          <w:sz w:val="32"/>
          <w:szCs w:val="32"/>
          <w:lang w:val="en-US" w:eastAsia="zh-CN"/>
        </w:rPr>
        <w:t>全面加强食品、药品监管，人民群众舌尖上的安全切实守护。</w:t>
      </w:r>
      <w:r>
        <w:rPr>
          <w:rFonts w:hint="eastAsia" w:ascii="仿宋_GB2312" w:hAnsi="仿宋_GB2312" w:eastAsia="仿宋_GB2312" w:cs="仿宋_GB2312"/>
          <w:b w:val="0"/>
          <w:bCs w:val="0"/>
          <w:color w:val="auto"/>
          <w:spacing w:val="0"/>
          <w:w w:val="100"/>
          <w:sz w:val="32"/>
          <w:szCs w:val="32"/>
          <w:lang w:val="en-US" w:eastAsia="zh-CN"/>
        </w:rPr>
        <w:t>牢固树立以人民为中心的发展思想，深入贯彻习近平总书记“四个最严”的重要指示精神，大力实施食品、药品安全战略，牢牢守住了不发生区域性、系统性食品、药品安全事故的底线，全市没有发生重大食品、药品安全事件。</w:t>
      </w:r>
      <w:r>
        <w:rPr>
          <w:rFonts w:hint="eastAsia" w:ascii="仿宋_GB2312" w:hAnsi="仿宋_GB2312" w:eastAsia="仿宋_GB2312" w:cs="仿宋_GB2312"/>
          <w:b w:val="0"/>
          <w:bCs w:val="0"/>
          <w:color w:val="000000" w:themeColor="text1"/>
          <w:spacing w:val="0"/>
          <w:w w:val="100"/>
          <w:sz w:val="32"/>
          <w:szCs w:val="32"/>
          <w:lang w:val="en-US" w:eastAsia="zh-CN"/>
          <w14:textFill>
            <w14:solidFill>
              <w14:schemeClr w14:val="tx1"/>
            </w14:solidFill>
          </w14:textFill>
        </w:rPr>
        <w:t>创新监管方式，成立食品安全专班和药品安全专班，整合人员力量，凝聚工作合力，有效破解食品、药品监管任务重、人员少、责任重、压力大的难题，全域创建成功食品安全县，</w:t>
      </w:r>
      <w:r>
        <w:rPr>
          <w:rFonts w:hint="eastAsia" w:ascii="仿宋_GB2312" w:hAnsi="仿宋_GB2312" w:eastAsia="仿宋_GB2312" w:cs="仿宋_GB2312"/>
          <w:b w:val="0"/>
          <w:bCs w:val="0"/>
          <w:color w:val="auto"/>
          <w:spacing w:val="0"/>
          <w:w w:val="100"/>
          <w:sz w:val="32"/>
          <w:szCs w:val="32"/>
          <w:lang w:val="en-US" w:eastAsia="zh-CN"/>
        </w:rPr>
        <w:t>全市749家药店、7家疾控机构、103个疫苗接种点监督检查全覆盖。加强重大活动餐饮食品安全监管</w:t>
      </w:r>
      <w:r>
        <w:rPr>
          <w:rFonts w:hint="eastAsia" w:ascii="仿宋_GB2312" w:hAnsi="仿宋_GB2312" w:eastAsia="仿宋_GB2312" w:cs="仿宋_GB2312"/>
          <w:b w:val="0"/>
          <w:bCs w:val="0"/>
          <w:color w:val="auto"/>
          <w:spacing w:val="0"/>
          <w:w w:val="100"/>
          <w:sz w:val="32"/>
          <w:szCs w:val="32"/>
          <w:lang w:val="en-US" w:eastAsia="zh-CN"/>
        </w:rPr>
        <w:t>。圆满完成了我市2021年“两会”、“党代会”、“一节一会”、“仰韶文化发现暨中国现代考古学诞生100周年纪念大会”等重大活动的食品安全保障工作，有效保障了参会人员和外来宾客的饮食安全。4、</w:t>
      </w:r>
      <w:r>
        <w:rPr>
          <w:rFonts w:hint="eastAsia" w:ascii="仿宋_GB2312" w:hAnsi="仿宋_GB2312" w:eastAsia="仿宋_GB2312" w:cs="仿宋_GB2312"/>
          <w:b/>
          <w:bCs/>
          <w:color w:val="auto"/>
          <w:spacing w:val="0"/>
          <w:w w:val="100"/>
          <w:sz w:val="32"/>
          <w:szCs w:val="32"/>
          <w:lang w:val="en-US" w:eastAsia="zh-CN"/>
        </w:rPr>
        <w:t>扎实开展医疗器械风险隐患排查治理工作</w:t>
      </w:r>
      <w:r>
        <w:rPr>
          <w:rFonts w:hint="eastAsia" w:ascii="仿宋_GB2312" w:hAnsi="仿宋_GB2312" w:eastAsia="仿宋_GB2312" w:cs="仿宋_GB2312"/>
          <w:b w:val="0"/>
          <w:bCs w:val="0"/>
          <w:color w:val="auto"/>
          <w:spacing w:val="0"/>
          <w:w w:val="100"/>
          <w:sz w:val="32"/>
          <w:szCs w:val="32"/>
          <w:lang w:val="en-US" w:eastAsia="zh-CN"/>
        </w:rPr>
        <w:t>。制定方案，聚焦重点产品、重点企业、重点环节，逐一梳理排查风险隐患，共排查经营企业1732家次，使用单位654家次，排查出风险隐患51个，已全部消除。5、</w:t>
      </w:r>
      <w:r>
        <w:rPr>
          <w:rFonts w:hint="eastAsia" w:ascii="仿宋_GB2312" w:hAnsi="仿宋_GB2312" w:eastAsia="仿宋_GB2312" w:cs="仿宋_GB2312"/>
          <w:b/>
          <w:bCs/>
          <w:color w:val="000000" w:themeColor="text1"/>
          <w:spacing w:val="0"/>
          <w:w w:val="100"/>
          <w:sz w:val="32"/>
          <w:szCs w:val="32"/>
          <w:lang w:val="en-US" w:eastAsia="zh-CN"/>
          <w14:textFill>
            <w14:solidFill>
              <w14:schemeClr w14:val="tx1"/>
            </w14:solidFill>
          </w14:textFill>
        </w:rPr>
        <w:t>畅通诉求渠，坚决维护消费者合法权益。</w:t>
      </w:r>
      <w:r>
        <w:rPr>
          <w:rFonts w:hint="default" w:ascii="Times New Roman" w:hAnsi="Times New Roman" w:eastAsia="仿宋_GB2312" w:cs="Times New Roman"/>
          <w:color w:val="auto"/>
          <w:w w:val="100"/>
          <w:sz w:val="32"/>
          <w:szCs w:val="32"/>
          <w:lang w:val="en-US" w:eastAsia="zh-CN"/>
        </w:rPr>
        <w:t>充分发挥“12315热线”和“全国12315平台”作用，及时接收处理消费者投诉举报，积极回应社会关切热点，继续实施12315“五进”工程，加强“一会两站”规范化建设。2021年共受理各类消费者诉求28044件，其中投诉6528件，举报1171件，咨询20329件，表扬16件，比去年同期增长13.43%，案件办结率达到98.26%。</w:t>
      </w:r>
      <w:r>
        <w:rPr>
          <w:rFonts w:hint="eastAsia" w:eastAsia="仿宋_GB2312" w:cs="Times New Roman"/>
          <w:color w:val="auto"/>
          <w:w w:val="100"/>
          <w:sz w:val="32"/>
          <w:szCs w:val="32"/>
          <w:lang w:val="en-US" w:eastAsia="zh-CN"/>
        </w:rPr>
        <w:t>6、</w:t>
      </w:r>
      <w:r>
        <w:rPr>
          <w:rFonts w:hint="eastAsia" w:ascii="仿宋_GB2312" w:hAnsi="仿宋_GB2312" w:eastAsia="仿宋_GB2312" w:cs="仿宋_GB2312"/>
          <w:b/>
          <w:bCs/>
          <w:color w:val="000000" w:themeColor="text1"/>
          <w:w w:val="100"/>
          <w:sz w:val="32"/>
          <w:szCs w:val="32"/>
          <w:lang w:eastAsia="zh-CN"/>
          <w14:textFill>
            <w14:solidFill>
              <w14:schemeClr w14:val="tx1"/>
            </w14:solidFill>
          </w14:textFill>
        </w:rPr>
        <w:t>深入</w:t>
      </w:r>
      <w:r>
        <w:rPr>
          <w:rFonts w:hint="eastAsia" w:ascii="仿宋_GB2312" w:hAnsi="仿宋_GB2312" w:eastAsia="仿宋_GB2312" w:cs="仿宋_GB2312"/>
          <w:b/>
          <w:bCs/>
          <w:color w:val="000000" w:themeColor="text1"/>
          <w:w w:val="100"/>
          <w:sz w:val="32"/>
          <w:szCs w:val="32"/>
          <w14:textFill>
            <w14:solidFill>
              <w14:schemeClr w14:val="tx1"/>
            </w14:solidFill>
          </w14:textFill>
        </w:rPr>
        <w:t>开展</w:t>
      </w:r>
      <w:r>
        <w:rPr>
          <w:rFonts w:hint="eastAsia" w:ascii="仿宋_GB2312" w:hAnsi="仿宋_GB2312" w:eastAsia="仿宋_GB2312" w:cs="仿宋_GB2312"/>
          <w:b/>
          <w:bCs/>
          <w:color w:val="000000" w:themeColor="text1"/>
          <w:w w:val="100"/>
          <w:sz w:val="32"/>
          <w:szCs w:val="32"/>
          <w:lang w:eastAsia="zh-CN"/>
          <w14:textFill>
            <w14:solidFill>
              <w14:schemeClr w14:val="tx1"/>
            </w14:solidFill>
          </w14:textFill>
        </w:rPr>
        <w:t>违法广告</w:t>
      </w:r>
      <w:r>
        <w:rPr>
          <w:rFonts w:hint="eastAsia" w:ascii="仿宋_GB2312" w:hAnsi="仿宋_GB2312" w:eastAsia="仿宋_GB2312" w:cs="仿宋_GB2312"/>
          <w:b/>
          <w:bCs/>
          <w:color w:val="000000" w:themeColor="text1"/>
          <w:w w:val="100"/>
          <w:sz w:val="32"/>
          <w:szCs w:val="32"/>
          <w14:textFill>
            <w14:solidFill>
              <w14:schemeClr w14:val="tx1"/>
            </w14:solidFill>
          </w14:textFill>
        </w:rPr>
        <w:t>专项整治</w:t>
      </w:r>
      <w:r>
        <w:rPr>
          <w:rFonts w:hint="eastAsia" w:ascii="仿宋_GB2312" w:hAnsi="仿宋_GB2312" w:eastAsia="仿宋_GB2312" w:cs="仿宋_GB2312"/>
          <w:b/>
          <w:bCs/>
          <w:color w:val="000000" w:themeColor="text1"/>
          <w:w w:val="100"/>
          <w:sz w:val="32"/>
          <w:szCs w:val="32"/>
          <w:lang w:eastAsia="zh-CN"/>
          <w14:textFill>
            <w14:solidFill>
              <w14:schemeClr w14:val="tx1"/>
            </w14:solidFill>
          </w14:textFill>
        </w:rPr>
        <w:t>，维护广告市场秩序。</w:t>
      </w:r>
      <w:r>
        <w:rPr>
          <w:rFonts w:hint="default" w:ascii="Times New Roman" w:hAnsi="Times New Roman" w:eastAsia="仿宋_GB2312" w:cs="Times New Roman"/>
          <w:color w:val="auto"/>
          <w:w w:val="100"/>
          <w:sz w:val="32"/>
          <w:szCs w:val="32"/>
          <w:lang w:eastAsia="zh-CN"/>
        </w:rPr>
        <w:t>以“我为群众治广告”为目标，充分发挥广告监测平台作用，及时查看处理国家局、省局广告监测平台线索派发情况，组织第三方监测机构，</w:t>
      </w:r>
      <w:r>
        <w:rPr>
          <w:rFonts w:hint="default" w:ascii="Times New Roman" w:hAnsi="Times New Roman" w:eastAsia="仿宋_GB2312" w:cs="Times New Roman"/>
          <w:color w:val="auto"/>
          <w:w w:val="100"/>
          <w:sz w:val="32"/>
          <w:szCs w:val="32"/>
          <w:lang w:val="en-US" w:eastAsia="zh-CN"/>
        </w:rPr>
        <w:t>结合专项整治任务，对市县两级</w:t>
      </w:r>
      <w:r>
        <w:rPr>
          <w:rFonts w:hint="default" w:ascii="Times New Roman" w:hAnsi="Times New Roman" w:eastAsia="仿宋_GB2312" w:cs="Times New Roman"/>
          <w:color w:val="auto"/>
          <w:w w:val="100"/>
          <w:sz w:val="32"/>
          <w:szCs w:val="32"/>
          <w:lang w:eastAsia="zh-CN"/>
        </w:rPr>
        <w:t>传统媒体、互联网、户外媒体发布的医疗、美容、药品、保健食品广告进行重点监测，</w:t>
      </w:r>
      <w:r>
        <w:rPr>
          <w:rFonts w:hint="default" w:ascii="Times New Roman" w:hAnsi="Times New Roman" w:eastAsia="仿宋_GB2312" w:cs="Times New Roman"/>
          <w:color w:val="auto"/>
          <w:w w:val="100"/>
          <w:sz w:val="32"/>
          <w:szCs w:val="32"/>
          <w:lang w:val="en-US" w:eastAsia="zh-CN"/>
        </w:rPr>
        <w:t>共监测到三门峡市电视、广播、互联网、户外发布广告62502条次，其中：电视和广播发布广告9256条次，互联网广告50669条次，户外广告2577条次，派发涉嫌违法线索391条次，</w:t>
      </w:r>
      <w:r>
        <w:rPr>
          <w:rFonts w:hint="default" w:ascii="Times New Roman" w:hAnsi="Times New Roman" w:eastAsia="仿宋_GB2312" w:cs="Times New Roman"/>
          <w:color w:val="auto"/>
          <w:w w:val="100"/>
          <w:sz w:val="32"/>
          <w:szCs w:val="32"/>
          <w:lang w:eastAsia="zh-CN"/>
        </w:rPr>
        <w:t>及时发现相关违法线索，限时办理反馈，确保全市重点媒介广告违法率始终保持在较低区间。联合卫健部门开展医疗美容广告、非法应用人类辅助生殖技术广告整治，对照登记在册的</w:t>
      </w:r>
      <w:r>
        <w:rPr>
          <w:rFonts w:hint="default" w:ascii="Times New Roman" w:hAnsi="Times New Roman" w:eastAsia="仿宋_GB2312" w:cs="Times New Roman"/>
          <w:color w:val="auto"/>
          <w:w w:val="100"/>
          <w:sz w:val="32"/>
          <w:szCs w:val="32"/>
          <w:lang w:val="en-US" w:eastAsia="zh-CN"/>
        </w:rPr>
        <w:t>16家</w:t>
      </w:r>
      <w:r>
        <w:rPr>
          <w:rFonts w:hint="default" w:ascii="Times New Roman" w:hAnsi="Times New Roman" w:eastAsia="仿宋_GB2312" w:cs="Times New Roman"/>
          <w:color w:val="auto"/>
          <w:w w:val="100"/>
          <w:sz w:val="32"/>
          <w:szCs w:val="32"/>
          <w:lang w:eastAsia="zh-CN"/>
        </w:rPr>
        <w:t>医疗美容机构重点排查</w:t>
      </w:r>
      <w:r>
        <w:rPr>
          <w:rFonts w:hint="default" w:ascii="Times New Roman" w:hAnsi="Times New Roman" w:eastAsia="仿宋_GB2312" w:cs="Times New Roman"/>
          <w:color w:val="auto"/>
          <w:w w:val="100"/>
          <w:sz w:val="32"/>
          <w:szCs w:val="32"/>
          <w:lang w:val="en-US" w:eastAsia="zh-CN"/>
        </w:rPr>
        <w:t>，</w:t>
      </w:r>
      <w:r>
        <w:rPr>
          <w:rFonts w:hint="default" w:ascii="Times New Roman" w:hAnsi="Times New Roman" w:eastAsia="仿宋_GB2312" w:cs="Times New Roman"/>
          <w:color w:val="auto"/>
          <w:w w:val="100"/>
          <w:sz w:val="32"/>
          <w:szCs w:val="32"/>
          <w:lang w:eastAsia="zh-CN"/>
        </w:rPr>
        <w:t>组织开展户外、房地产、非法集资、疫情防控等其他领域广告专项整治工作，</w:t>
      </w:r>
      <w:r>
        <w:rPr>
          <w:rFonts w:hint="default" w:ascii="Times New Roman" w:hAnsi="Times New Roman" w:eastAsia="仿宋_GB2312" w:cs="Times New Roman"/>
          <w:color w:val="auto"/>
          <w:w w:val="100"/>
          <w:sz w:val="32"/>
          <w:szCs w:val="32"/>
          <w:lang w:val="en-US" w:eastAsia="zh-CN"/>
        </w:rPr>
        <w:t>依法查处民生领域虚假违法广告发布行为，立案查处各类违法广告和虚假宣传案件30起，结案28起，罚没款58.71万元</w:t>
      </w:r>
      <w:r>
        <w:rPr>
          <w:rFonts w:hint="eastAsia" w:eastAsia="仿宋_GB2312" w:cs="Times New Roman"/>
          <w:color w:val="auto"/>
          <w:w w:val="100"/>
          <w:sz w:val="32"/>
          <w:szCs w:val="32"/>
          <w:lang w:val="en-US" w:eastAsia="zh-CN"/>
        </w:rPr>
        <w:t>。7、</w:t>
      </w:r>
      <w:r>
        <w:rPr>
          <w:rFonts w:hint="eastAsia" w:ascii="仿宋_GB2312" w:hAnsi="仿宋_GB2312" w:eastAsia="仿宋_GB2312" w:cs="仿宋_GB2312"/>
          <w:b/>
          <w:bCs/>
          <w:color w:val="000000" w:themeColor="text1"/>
          <w:w w:val="100"/>
          <w:sz w:val="32"/>
          <w:szCs w:val="32"/>
          <w:lang w:val="en-US" w:eastAsia="zh-CN"/>
          <w14:textFill>
            <w14:solidFill>
              <w14:schemeClr w14:val="tx1"/>
            </w14:solidFill>
          </w14:textFill>
        </w:rPr>
        <w:t>深入文明城市创建，积极推进文明经营活动。</w:t>
      </w:r>
      <w:r>
        <w:rPr>
          <w:rFonts w:hint="default" w:ascii="Times New Roman" w:hAnsi="Times New Roman" w:eastAsia="仿宋_GB2312" w:cs="Times New Roman"/>
          <w:color w:val="auto"/>
          <w:w w:val="100"/>
          <w:sz w:val="32"/>
          <w:szCs w:val="32"/>
          <w:u w:val="none"/>
          <w:lang w:val="en-US" w:eastAsia="zh-CN"/>
        </w:rPr>
        <w:t>联合市文明办对在2020年度文明经营活动中成绩突出的5条示范街，9个示范市场，160家示范企业，185家</w:t>
      </w:r>
      <w:r>
        <w:rPr>
          <w:rFonts w:hint="default" w:ascii="Times New Roman" w:hAnsi="Times New Roman" w:eastAsia="仿宋_GB2312" w:cs="Times New Roman"/>
          <w:snapToGrid w:val="0"/>
          <w:color w:val="auto"/>
          <w:w w:val="100"/>
          <w:kern w:val="0"/>
          <w:sz w:val="32"/>
          <w:szCs w:val="32"/>
          <w:lang w:val="en-US" w:eastAsia="zh-CN"/>
        </w:rPr>
        <w:t>示范</w:t>
      </w:r>
      <w:r>
        <w:rPr>
          <w:rFonts w:hint="default" w:ascii="Times New Roman" w:hAnsi="Times New Roman" w:eastAsia="仿宋_GB2312" w:cs="Times New Roman"/>
          <w:snapToGrid w:val="0"/>
          <w:color w:val="auto"/>
          <w:w w:val="100"/>
          <w:kern w:val="0"/>
          <w:sz w:val="32"/>
          <w:szCs w:val="32"/>
        </w:rPr>
        <w:t>商户</w:t>
      </w:r>
      <w:r>
        <w:rPr>
          <w:rFonts w:hint="default" w:ascii="Times New Roman" w:hAnsi="Times New Roman" w:eastAsia="仿宋_GB2312" w:cs="Times New Roman"/>
          <w:color w:val="auto"/>
          <w:w w:val="100"/>
          <w:sz w:val="32"/>
          <w:szCs w:val="32"/>
          <w:u w:val="none"/>
          <w:lang w:val="en-US" w:eastAsia="zh-CN"/>
        </w:rPr>
        <w:t>进行命名，在全市诚信建设“红黑榜”新闻发布会上，进行发布。</w:t>
      </w:r>
      <w:r>
        <w:rPr>
          <w:rFonts w:hint="default" w:ascii="Times New Roman" w:hAnsi="Times New Roman" w:eastAsia="仿宋_GB2312" w:cs="Times New Roman"/>
          <w:b w:val="0"/>
          <w:bCs w:val="0"/>
          <w:color w:val="auto"/>
          <w:w w:val="100"/>
          <w:kern w:val="2"/>
          <w:sz w:val="32"/>
          <w:szCs w:val="32"/>
          <w:lang w:val="en-US" w:eastAsia="zh-CN"/>
        </w:rPr>
        <w:t>深入开展主题实践活动，弘扬文明诚信。</w:t>
      </w:r>
      <w:r>
        <w:rPr>
          <w:rFonts w:hint="default" w:ascii="Times New Roman" w:hAnsi="Times New Roman" w:eastAsia="仿宋_GB2312" w:cs="Times New Roman"/>
          <w:color w:val="auto"/>
          <w:w w:val="100"/>
          <w:sz w:val="32"/>
          <w:szCs w:val="32"/>
          <w:u w:val="none"/>
          <w:lang w:val="en-US" w:eastAsia="zh-CN"/>
        </w:rPr>
        <w:t>围绕“3·15”消费者权益日、全国食品安全宣传周、全国“质量月”等重要节点开展诚信教育活动。</w:t>
      </w:r>
      <w:r>
        <w:rPr>
          <w:rFonts w:hint="eastAsia" w:eastAsia="仿宋_GB2312" w:cs="Times New Roman"/>
          <w:color w:val="auto"/>
          <w:w w:val="100"/>
          <w:sz w:val="32"/>
          <w:szCs w:val="32"/>
          <w:u w:val="none"/>
          <w:lang w:val="en-US" w:eastAsia="zh-CN"/>
        </w:rPr>
        <w:t>8、</w:t>
      </w:r>
      <w:r>
        <w:rPr>
          <w:rFonts w:hint="eastAsia" w:ascii="仿宋_GB2312" w:hAnsi="仿宋_GB2312" w:eastAsia="仿宋_GB2312" w:cs="仿宋_GB2312"/>
          <w:b/>
          <w:bCs/>
          <w:color w:val="000000" w:themeColor="text1"/>
          <w:w w:val="100"/>
          <w:sz w:val="32"/>
          <w:szCs w:val="32"/>
          <w:lang w:val="en-US" w:eastAsia="zh-CN"/>
          <w14:textFill>
            <w14:solidFill>
              <w14:schemeClr w14:val="tx1"/>
            </w14:solidFill>
          </w14:textFill>
        </w:rPr>
        <w:t>理顺办案机制，执法办案工作取得新突破。</w:t>
      </w:r>
      <w:r>
        <w:rPr>
          <w:rFonts w:hint="default" w:ascii="Times New Roman" w:hAnsi="Times New Roman" w:eastAsia="仿宋_GB2312" w:cs="Times New Roman"/>
          <w:color w:val="auto"/>
          <w:w w:val="100"/>
          <w:sz w:val="32"/>
          <w:szCs w:val="32"/>
          <w:lang w:val="en-US" w:eastAsia="zh-CN"/>
        </w:rPr>
        <w:t>组建市场监管综合行政执法支队，以民生领域案件查办“铁拳”行动为抓手，集中力量开展执法办案，办理食品案件313件，其中一般程序案件312件，达到99.68%。成功办理深圳某公司涉嫌在我市组织、策划传销案件，</w:t>
      </w:r>
      <w:r>
        <w:rPr>
          <w:rFonts w:hint="default" w:ascii="Times New Roman" w:hAnsi="Times New Roman" w:eastAsia="仿宋_GB2312" w:cs="Times New Roman"/>
          <w:color w:val="auto"/>
          <w:w w:val="100"/>
          <w:sz w:val="32"/>
          <w:szCs w:val="32"/>
        </w:rPr>
        <w:t>冻结该公司涉嫌用于传销活动资金1000</w:t>
      </w:r>
      <w:r>
        <w:rPr>
          <w:rFonts w:hint="default" w:ascii="Times New Roman" w:hAnsi="Times New Roman" w:eastAsia="仿宋_GB2312" w:cs="Times New Roman"/>
          <w:color w:val="auto"/>
          <w:w w:val="100"/>
          <w:sz w:val="32"/>
          <w:szCs w:val="32"/>
          <w:lang w:eastAsia="zh-CN"/>
        </w:rPr>
        <w:t>余</w:t>
      </w:r>
      <w:r>
        <w:rPr>
          <w:rFonts w:hint="default" w:ascii="Times New Roman" w:hAnsi="Times New Roman" w:eastAsia="仿宋_GB2312" w:cs="Times New Roman"/>
          <w:color w:val="auto"/>
          <w:w w:val="100"/>
          <w:sz w:val="32"/>
          <w:szCs w:val="32"/>
        </w:rPr>
        <w:t>万元</w:t>
      </w:r>
      <w:r>
        <w:rPr>
          <w:rFonts w:hint="default" w:ascii="Times New Roman" w:hAnsi="Times New Roman" w:eastAsia="仿宋_GB2312" w:cs="Times New Roman"/>
          <w:color w:val="auto"/>
          <w:w w:val="100"/>
          <w:sz w:val="32"/>
          <w:szCs w:val="32"/>
          <w:lang w:val="en-US" w:eastAsia="zh-CN"/>
        </w:rPr>
        <w:t>，合计罚没980余万元，</w:t>
      </w:r>
      <w:r>
        <w:rPr>
          <w:rFonts w:hint="default" w:ascii="Times New Roman" w:hAnsi="Times New Roman" w:eastAsia="仿宋_GB2312" w:cs="Times New Roman"/>
          <w:color w:val="auto"/>
          <w:w w:val="100"/>
          <w:sz w:val="32"/>
          <w:szCs w:val="32"/>
        </w:rPr>
        <w:t>创造了三门峡市市场监管系统</w:t>
      </w:r>
      <w:r>
        <w:rPr>
          <w:rFonts w:hint="default" w:ascii="Times New Roman" w:hAnsi="Times New Roman" w:eastAsia="仿宋_GB2312" w:cs="Times New Roman"/>
          <w:color w:val="auto"/>
          <w:w w:val="100"/>
          <w:sz w:val="32"/>
          <w:szCs w:val="32"/>
          <w:lang w:eastAsia="zh-CN"/>
        </w:rPr>
        <w:t>执法办案</w:t>
      </w:r>
      <w:r>
        <w:rPr>
          <w:rFonts w:hint="default" w:ascii="Times New Roman" w:hAnsi="Times New Roman" w:eastAsia="仿宋_GB2312" w:cs="Times New Roman"/>
          <w:color w:val="auto"/>
          <w:w w:val="100"/>
          <w:sz w:val="32"/>
          <w:szCs w:val="32"/>
        </w:rPr>
        <w:t>新纪录</w:t>
      </w:r>
      <w:r>
        <w:rPr>
          <w:rFonts w:hint="default" w:ascii="Times New Roman" w:hAnsi="Times New Roman" w:eastAsia="仿宋_GB2312" w:cs="Times New Roman"/>
          <w:color w:val="auto"/>
          <w:w w:val="100"/>
          <w:sz w:val="32"/>
          <w:szCs w:val="32"/>
          <w:lang w:eastAsia="zh-CN"/>
        </w:rPr>
        <w:t>，极大鼓舞了执法办案士气</w:t>
      </w:r>
      <w:r>
        <w:rPr>
          <w:rFonts w:hint="default" w:ascii="Times New Roman" w:hAnsi="Times New Roman" w:eastAsia="仿宋_GB2312" w:cs="Times New Roman"/>
          <w:color w:val="auto"/>
          <w:w w:val="100"/>
          <w:sz w:val="32"/>
          <w:szCs w:val="32"/>
        </w:rPr>
        <w:t>。</w:t>
      </w:r>
      <w:r>
        <w:rPr>
          <w:rFonts w:hint="eastAsia" w:eastAsia="仿宋_GB2312" w:cs="Times New Roman"/>
          <w:color w:val="auto"/>
          <w:w w:val="100"/>
          <w:sz w:val="32"/>
          <w:szCs w:val="32"/>
          <w:lang w:val="en-US" w:eastAsia="zh-CN"/>
        </w:rPr>
        <w:t>9、</w:t>
      </w:r>
      <w:r>
        <w:rPr>
          <w:rFonts w:hint="eastAsia" w:ascii="仿宋_GB2312" w:hAnsi="仿宋_GB2312" w:eastAsia="仿宋_GB2312" w:cs="仿宋_GB2312"/>
          <w:b/>
          <w:bCs/>
          <w:color w:val="000000" w:themeColor="text1"/>
          <w:w w:val="100"/>
          <w:kern w:val="2"/>
          <w:sz w:val="32"/>
          <w:szCs w:val="32"/>
          <w:lang w:val="en-US" w:eastAsia="zh-CN" w:bidi="ar-SA"/>
          <w14:textFill>
            <w14:solidFill>
              <w14:schemeClr w14:val="tx1"/>
            </w14:solidFill>
          </w14:textFill>
        </w:rPr>
        <w:t>优化企业服务，打造良好的营商环境。</w:t>
      </w:r>
      <w:r>
        <w:rPr>
          <w:rFonts w:hint="default" w:ascii="Times New Roman" w:hAnsi="Times New Roman" w:eastAsia="仿宋_GB2312" w:cs="Times New Roman"/>
          <w:b w:val="0"/>
          <w:bCs w:val="0"/>
          <w:color w:val="auto"/>
          <w:w w:val="100"/>
          <w:sz w:val="32"/>
          <w:szCs w:val="32"/>
          <w:lang w:eastAsia="zh-CN"/>
        </w:rPr>
        <w:t>坚持“项目为王”、上门服务、容缺候补，推行企业开办“</w:t>
      </w:r>
      <w:r>
        <w:rPr>
          <w:rFonts w:hint="default" w:ascii="Times New Roman" w:hAnsi="Times New Roman" w:eastAsia="仿宋_GB2312" w:cs="Times New Roman"/>
          <w:b w:val="0"/>
          <w:bCs w:val="0"/>
          <w:color w:val="auto"/>
          <w:w w:val="100"/>
          <w:sz w:val="32"/>
          <w:szCs w:val="32"/>
          <w:lang w:val="en-US" w:eastAsia="zh-CN"/>
        </w:rPr>
        <w:t>1110</w:t>
      </w:r>
      <w:r>
        <w:rPr>
          <w:rFonts w:hint="default" w:ascii="Times New Roman" w:hAnsi="Times New Roman" w:eastAsia="仿宋_GB2312" w:cs="Times New Roman"/>
          <w:b w:val="0"/>
          <w:bCs w:val="0"/>
          <w:color w:val="auto"/>
          <w:w w:val="100"/>
          <w:sz w:val="32"/>
          <w:szCs w:val="32"/>
          <w:lang w:eastAsia="zh-CN"/>
        </w:rPr>
        <w:t>”机制，</w:t>
      </w:r>
      <w:r>
        <w:rPr>
          <w:rFonts w:hint="default" w:ascii="Times New Roman" w:hAnsi="Times New Roman" w:eastAsia="仿宋_GB2312" w:cs="Times New Roman"/>
          <w:color w:val="auto"/>
          <w:w w:val="100"/>
          <w:sz w:val="32"/>
          <w:szCs w:val="32"/>
          <w:lang w:eastAsia="zh-CN"/>
        </w:rPr>
        <w:t>全力服务“三个一批”重大项目建设；主动牵头市场监管指标评价，扎实做好自身指标提升，确保营商环境评价提档升位；改进行政审批服务，</w:t>
      </w:r>
      <w:r>
        <w:rPr>
          <w:rFonts w:hint="default" w:ascii="Times New Roman" w:hAnsi="Times New Roman" w:eastAsia="仿宋_GB2312" w:cs="Times New Roman"/>
          <w:b w:val="0"/>
          <w:bCs w:val="0"/>
          <w:color w:val="auto"/>
          <w:w w:val="100"/>
          <w:sz w:val="32"/>
          <w:szCs w:val="32"/>
        </w:rPr>
        <w:t>推进企业开办</w:t>
      </w:r>
      <w:r>
        <w:rPr>
          <w:rFonts w:hint="default" w:ascii="Times New Roman" w:hAnsi="Times New Roman" w:eastAsia="仿宋_GB2312" w:cs="Times New Roman"/>
          <w:b w:val="0"/>
          <w:bCs w:val="0"/>
          <w:color w:val="auto"/>
          <w:w w:val="100"/>
          <w:sz w:val="32"/>
          <w:szCs w:val="32"/>
          <w:lang w:eastAsia="zh-CN"/>
        </w:rPr>
        <w:t>线上</w:t>
      </w:r>
      <w:r>
        <w:rPr>
          <w:rFonts w:hint="default" w:ascii="Times New Roman" w:hAnsi="Times New Roman" w:eastAsia="仿宋_GB2312" w:cs="Times New Roman"/>
          <w:b w:val="0"/>
          <w:bCs w:val="0"/>
          <w:color w:val="auto"/>
          <w:w w:val="100"/>
          <w:sz w:val="32"/>
          <w:szCs w:val="32"/>
        </w:rPr>
        <w:t>“一网通办”</w:t>
      </w:r>
      <w:r>
        <w:rPr>
          <w:rFonts w:hint="default" w:ascii="Times New Roman" w:hAnsi="Times New Roman" w:eastAsia="仿宋_GB2312" w:cs="Times New Roman"/>
          <w:b w:val="0"/>
          <w:bCs w:val="0"/>
          <w:color w:val="auto"/>
          <w:w w:val="100"/>
          <w:sz w:val="32"/>
          <w:szCs w:val="32"/>
          <w:lang w:eastAsia="zh-CN"/>
        </w:rPr>
        <w:t>、线下</w:t>
      </w:r>
      <w:r>
        <w:rPr>
          <w:rFonts w:hint="default" w:ascii="Times New Roman" w:hAnsi="Times New Roman" w:eastAsia="仿宋_GB2312" w:cs="Times New Roman"/>
          <w:b w:val="0"/>
          <w:bCs w:val="0"/>
          <w:color w:val="auto"/>
          <w:w w:val="100"/>
          <w:sz w:val="32"/>
          <w:szCs w:val="32"/>
        </w:rPr>
        <w:t>“ 一窗通办”</w:t>
      </w:r>
      <w:r>
        <w:rPr>
          <w:rFonts w:hint="default" w:ascii="Times New Roman" w:hAnsi="Times New Roman" w:eastAsia="仿宋_GB2312" w:cs="Times New Roman"/>
          <w:b w:val="0"/>
          <w:bCs w:val="0"/>
          <w:color w:val="auto"/>
          <w:w w:val="100"/>
          <w:sz w:val="32"/>
          <w:szCs w:val="32"/>
          <w:lang w:eastAsia="zh-CN"/>
        </w:rPr>
        <w:t>，变“一事跑多窗”为“一窗办多事”，推动全市</w:t>
      </w:r>
      <w:r>
        <w:rPr>
          <w:rFonts w:hint="default" w:ascii="Times New Roman" w:hAnsi="Times New Roman" w:eastAsia="仿宋_GB2312" w:cs="Times New Roman"/>
          <w:color w:val="auto"/>
          <w:w w:val="100"/>
          <w:sz w:val="32"/>
          <w:szCs w:val="32"/>
        </w:rPr>
        <w:t>市场主体</w:t>
      </w:r>
      <w:r>
        <w:rPr>
          <w:rFonts w:hint="default" w:ascii="Times New Roman" w:hAnsi="Times New Roman" w:eastAsia="仿宋_GB2312" w:cs="Times New Roman"/>
          <w:color w:val="auto"/>
          <w:w w:val="100"/>
          <w:sz w:val="32"/>
          <w:szCs w:val="32"/>
          <w:lang w:eastAsia="zh-CN"/>
        </w:rPr>
        <w:t>达到</w:t>
      </w:r>
      <w:r>
        <w:rPr>
          <w:rFonts w:hint="default" w:ascii="Times New Roman" w:hAnsi="Times New Roman" w:eastAsia="仿宋_GB2312" w:cs="Times New Roman"/>
          <w:color w:val="auto"/>
          <w:w w:val="100"/>
          <w:sz w:val="32"/>
          <w:szCs w:val="32"/>
        </w:rPr>
        <w:t>17</w:t>
      </w:r>
      <w:r>
        <w:rPr>
          <w:rFonts w:hint="default" w:ascii="Times New Roman" w:hAnsi="Times New Roman" w:eastAsia="仿宋_GB2312" w:cs="Times New Roman"/>
          <w:color w:val="auto"/>
          <w:w w:val="100"/>
          <w:sz w:val="32"/>
          <w:szCs w:val="32"/>
          <w:lang w:val="en-US" w:eastAsia="zh-CN"/>
        </w:rPr>
        <w:t>.</w:t>
      </w:r>
      <w:r>
        <w:rPr>
          <w:rFonts w:hint="default" w:ascii="Times New Roman" w:hAnsi="Times New Roman" w:eastAsia="仿宋_GB2312" w:cs="Times New Roman"/>
          <w:color w:val="auto"/>
          <w:w w:val="100"/>
          <w:sz w:val="32"/>
          <w:szCs w:val="32"/>
        </w:rPr>
        <w:t>3</w:t>
      </w:r>
      <w:r>
        <w:rPr>
          <w:rFonts w:hint="default" w:ascii="Times New Roman" w:hAnsi="Times New Roman" w:eastAsia="仿宋_GB2312" w:cs="Times New Roman"/>
          <w:color w:val="auto"/>
          <w:w w:val="100"/>
          <w:sz w:val="32"/>
          <w:szCs w:val="32"/>
          <w:lang w:eastAsia="zh-CN"/>
        </w:rPr>
        <w:t>万</w:t>
      </w:r>
      <w:r>
        <w:rPr>
          <w:rFonts w:hint="default" w:ascii="Times New Roman" w:hAnsi="Times New Roman" w:eastAsia="仿宋_GB2312" w:cs="Times New Roman"/>
          <w:color w:val="auto"/>
          <w:w w:val="100"/>
          <w:sz w:val="32"/>
          <w:szCs w:val="32"/>
        </w:rPr>
        <w:t>户，</w:t>
      </w:r>
      <w:r>
        <w:rPr>
          <w:rFonts w:hint="default" w:ascii="Times New Roman" w:hAnsi="Times New Roman" w:eastAsia="仿宋_GB2312" w:cs="Times New Roman"/>
          <w:color w:val="auto"/>
          <w:w w:val="100"/>
          <w:sz w:val="32"/>
          <w:szCs w:val="32"/>
          <w:lang w:eastAsia="zh-CN"/>
        </w:rPr>
        <w:t>较年初净</w:t>
      </w:r>
      <w:r>
        <w:rPr>
          <w:rFonts w:hint="default" w:ascii="Times New Roman" w:hAnsi="Times New Roman" w:eastAsia="仿宋_GB2312" w:cs="Times New Roman"/>
          <w:color w:val="auto"/>
          <w:w w:val="100"/>
          <w:sz w:val="32"/>
          <w:szCs w:val="32"/>
        </w:rPr>
        <w:t>增10.33%。</w:t>
      </w:r>
      <w:r>
        <w:rPr>
          <w:rFonts w:hint="default" w:ascii="Times New Roman" w:hAnsi="Times New Roman" w:eastAsia="仿宋_GB2312" w:cs="Times New Roman"/>
          <w:b w:val="0"/>
          <w:bCs w:val="0"/>
          <w:color w:val="auto"/>
          <w:w w:val="100"/>
          <w:sz w:val="32"/>
          <w:szCs w:val="32"/>
          <w:lang w:eastAsia="zh-CN"/>
        </w:rPr>
        <w:t>推进“万人</w:t>
      </w:r>
      <w:bookmarkStart w:id="75" w:name="_GoBack"/>
      <w:bookmarkEnd w:id="75"/>
      <w:r>
        <w:rPr>
          <w:rFonts w:hint="default" w:ascii="Times New Roman" w:hAnsi="Times New Roman" w:eastAsia="仿宋_GB2312" w:cs="Times New Roman"/>
          <w:b w:val="0"/>
          <w:bCs w:val="0"/>
          <w:color w:val="auto"/>
          <w:w w:val="100"/>
          <w:sz w:val="32"/>
          <w:szCs w:val="32"/>
          <w:lang w:eastAsia="zh-CN"/>
        </w:rPr>
        <w:t>助万企”活动，助企纾困解难，紧扣</w:t>
      </w:r>
      <w:r>
        <w:rPr>
          <w:rFonts w:hint="default" w:ascii="Times New Roman" w:hAnsi="Times New Roman" w:eastAsia="仿宋_GB2312" w:cs="Times New Roman"/>
          <w:color w:val="auto"/>
          <w:w w:val="100"/>
          <w:sz w:val="32"/>
          <w:szCs w:val="32"/>
        </w:rPr>
        <w:t>“万人助万企”活动</w:t>
      </w:r>
      <w:r>
        <w:rPr>
          <w:rFonts w:hint="default" w:ascii="Times New Roman" w:hAnsi="Times New Roman" w:eastAsia="仿宋_GB2312" w:cs="Times New Roman"/>
          <w:color w:val="auto"/>
          <w:w w:val="100"/>
          <w:sz w:val="32"/>
          <w:szCs w:val="32"/>
          <w:lang w:eastAsia="zh-CN"/>
        </w:rPr>
        <w:t>政务服务组和助企工作组两项职责，班子成员带领8个小组40名干部，围绕市委“十大战略”、“两项工程”部署，</w:t>
      </w:r>
      <w:r>
        <w:rPr>
          <w:rFonts w:hint="default" w:ascii="Times New Roman" w:hAnsi="Times New Roman" w:eastAsia="仿宋_GB2312" w:cs="Times New Roman"/>
          <w:color w:val="auto"/>
          <w:w w:val="100"/>
          <w:sz w:val="32"/>
          <w:szCs w:val="32"/>
        </w:rPr>
        <w:t>深入400余家企业梳理问题85个，落实“13710”工作机制解决问题72个，</w:t>
      </w:r>
      <w:r>
        <w:rPr>
          <w:rFonts w:hint="default" w:ascii="Times New Roman" w:hAnsi="Times New Roman" w:eastAsia="仿宋_GB2312" w:cs="Times New Roman"/>
          <w:color w:val="auto"/>
          <w:w w:val="100"/>
          <w:sz w:val="32"/>
          <w:szCs w:val="32"/>
          <w:lang w:val="en-US" w:eastAsia="zh-CN"/>
        </w:rPr>
        <w:t>9家</w:t>
      </w:r>
      <w:r>
        <w:rPr>
          <w:rFonts w:hint="default" w:ascii="Times New Roman" w:hAnsi="Times New Roman" w:eastAsia="仿宋_GB2312" w:cs="Times New Roman"/>
          <w:color w:val="auto"/>
          <w:w w:val="100"/>
          <w:sz w:val="32"/>
          <w:szCs w:val="32"/>
        </w:rPr>
        <w:t>企业送来锦旗和</w:t>
      </w:r>
      <w:r>
        <w:rPr>
          <w:rFonts w:hint="default" w:ascii="Times New Roman" w:hAnsi="Times New Roman" w:eastAsia="仿宋_GB2312" w:cs="Times New Roman"/>
          <w:color w:val="auto"/>
          <w:w w:val="100"/>
          <w:sz w:val="32"/>
          <w:szCs w:val="32"/>
          <w:lang w:eastAsia="zh-CN"/>
        </w:rPr>
        <w:t>感谢</w:t>
      </w:r>
      <w:r>
        <w:rPr>
          <w:rFonts w:hint="default" w:ascii="Times New Roman" w:hAnsi="Times New Roman" w:eastAsia="仿宋_GB2312" w:cs="Times New Roman"/>
          <w:color w:val="auto"/>
          <w:w w:val="100"/>
          <w:sz w:val="32"/>
          <w:szCs w:val="32"/>
        </w:rPr>
        <w:t>信。</w:t>
      </w:r>
    </w:p>
    <w:p>
      <w:pPr>
        <w:pStyle w:val="8"/>
        <w:keepNext w:val="0"/>
        <w:keepLines w:val="0"/>
        <w:adjustRightInd/>
        <w:snapToGrid/>
        <w:spacing w:before="0" w:after="0"/>
        <w:rPr>
          <w:rFonts w:ascii="黑体" w:hAnsi="黑体" w:eastAsia="黑体" w:cs="黑体"/>
          <w:sz w:val="30"/>
          <w:szCs w:val="30"/>
        </w:rPr>
      </w:pPr>
      <w:bookmarkStart w:id="20" w:name="_Toc10680"/>
      <w:bookmarkStart w:id="21" w:name="_Toc23203"/>
      <w:bookmarkStart w:id="22" w:name="_Toc18257"/>
      <w:r>
        <w:rPr>
          <w:rFonts w:hint="eastAsia" w:ascii="黑体" w:hAnsi="黑体" w:eastAsia="黑体" w:cs="黑体"/>
          <w:sz w:val="30"/>
          <w:szCs w:val="30"/>
        </w:rPr>
        <w:t>（三）绩效目标批复情况</w:t>
      </w:r>
      <w:bookmarkEnd w:id="20"/>
      <w:bookmarkEnd w:id="21"/>
      <w:bookmarkEnd w:id="22"/>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我单位各科室，根据历史依据和当年目标任务编制202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我部门年度预算后，将绩效目标随部门预算批复我部门；我部门将批复的绩效目标按预算管理级次细化批复到项目科室，并提出绩效管理具体工作要求。</w:t>
      </w:r>
    </w:p>
    <w:p>
      <w:pPr>
        <w:pStyle w:val="7"/>
        <w:keepNext w:val="0"/>
        <w:keepLines w:val="0"/>
        <w:spacing w:before="0" w:after="0" w:line="360" w:lineRule="auto"/>
        <w:rPr>
          <w:rFonts w:ascii="黑体" w:hAnsi="黑体" w:eastAsia="黑体" w:cs="黑体"/>
          <w:sz w:val="32"/>
          <w:szCs w:val="32"/>
        </w:rPr>
      </w:pPr>
      <w:bookmarkStart w:id="23" w:name="_Toc26306"/>
      <w:bookmarkStart w:id="24" w:name="_Toc31315"/>
      <w:bookmarkStart w:id="25" w:name="_Toc12488"/>
      <w:r>
        <w:rPr>
          <w:rFonts w:hint="eastAsia" w:ascii="黑体" w:hAnsi="黑体" w:eastAsia="黑体" w:cs="黑体"/>
          <w:sz w:val="32"/>
          <w:szCs w:val="32"/>
        </w:rPr>
        <w:t>二、单位</w:t>
      </w:r>
      <w:r>
        <w:rPr>
          <w:rFonts w:ascii="黑体" w:hAnsi="黑体" w:eastAsia="黑体" w:cs="黑体"/>
          <w:sz w:val="32"/>
          <w:szCs w:val="32"/>
        </w:rPr>
        <w:t>自评工作开展情况</w:t>
      </w:r>
      <w:bookmarkEnd w:id="23"/>
      <w:bookmarkEnd w:id="24"/>
      <w:bookmarkEnd w:id="25"/>
    </w:p>
    <w:p>
      <w:pPr>
        <w:pStyle w:val="8"/>
        <w:keepNext w:val="0"/>
        <w:keepLines w:val="0"/>
        <w:adjustRightInd/>
        <w:snapToGrid/>
        <w:spacing w:before="0" w:after="0"/>
        <w:rPr>
          <w:rFonts w:ascii="黑体" w:hAnsi="黑体" w:eastAsia="黑体" w:cs="黑体"/>
          <w:sz w:val="30"/>
          <w:szCs w:val="30"/>
        </w:rPr>
      </w:pPr>
      <w:bookmarkStart w:id="26" w:name="_Toc31583"/>
      <w:bookmarkStart w:id="27" w:name="_Toc12595"/>
      <w:bookmarkStart w:id="28" w:name="_Toc3002"/>
      <w:bookmarkStart w:id="29" w:name="_Toc25866"/>
      <w:bookmarkStart w:id="30" w:name="_Toc8544"/>
      <w:r>
        <w:rPr>
          <w:rFonts w:hint="eastAsia" w:ascii="黑体" w:hAnsi="黑体" w:eastAsia="黑体" w:cs="黑体"/>
          <w:sz w:val="30"/>
          <w:szCs w:val="30"/>
        </w:rPr>
        <w:t>（一）绩效自评目的和意义</w:t>
      </w:r>
      <w:bookmarkEnd w:id="26"/>
      <w:bookmarkEnd w:id="27"/>
      <w:bookmarkEnd w:id="28"/>
      <w:bookmarkEnd w:id="29"/>
      <w:bookmarkEnd w:id="3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8"/>
        <w:keepNext w:val="0"/>
        <w:keepLines w:val="0"/>
        <w:adjustRightInd/>
        <w:snapToGrid/>
        <w:spacing w:before="0" w:after="0"/>
        <w:rPr>
          <w:rFonts w:ascii="黑体" w:hAnsi="黑体" w:eastAsia="黑体" w:cs="黑体"/>
          <w:sz w:val="30"/>
          <w:szCs w:val="30"/>
        </w:rPr>
      </w:pPr>
      <w:bookmarkStart w:id="31" w:name="_Toc9139"/>
      <w:bookmarkStart w:id="32" w:name="_Toc4202"/>
      <w:bookmarkStart w:id="33" w:name="_Toc28974"/>
      <w:bookmarkStart w:id="34" w:name="_Toc26818"/>
      <w:bookmarkStart w:id="35" w:name="_Toc21569"/>
      <w:r>
        <w:rPr>
          <w:rFonts w:hint="eastAsia" w:ascii="黑体" w:hAnsi="黑体" w:eastAsia="黑体" w:cs="黑体"/>
          <w:sz w:val="30"/>
          <w:szCs w:val="30"/>
        </w:rPr>
        <w:t>（二）绩效自评对象和范围</w:t>
      </w:r>
      <w:bookmarkEnd w:id="31"/>
      <w:bookmarkEnd w:id="32"/>
      <w:bookmarkEnd w:id="33"/>
      <w:bookmarkEnd w:id="34"/>
      <w:bookmarkEnd w:id="3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本次绩效自评对象为三门峡市市场监督管理局，202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eastAsia="仿宋_GB2312" w:cs="仿宋_GB2312"/>
          <w:sz w:val="32"/>
          <w:szCs w:val="32"/>
        </w:rPr>
        <w:t>实施市场秩序执法综合监管经费的费用支出，涉及资金</w:t>
      </w:r>
      <w:r>
        <w:rPr>
          <w:rFonts w:hint="eastAsia" w:ascii="仿宋_GB2312" w:eastAsia="仿宋_GB2312" w:cs="仿宋_GB2312"/>
          <w:sz w:val="32"/>
          <w:szCs w:val="32"/>
          <w:lang w:val="en-US" w:eastAsia="zh-CN"/>
        </w:rPr>
        <w:t>188.4</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rPr>
        <w:t>，评价范围为涉及该项目管理及其预算资金使用绩效的相关情况。</w:t>
      </w:r>
    </w:p>
    <w:p>
      <w:pPr>
        <w:pStyle w:val="8"/>
        <w:keepNext w:val="0"/>
        <w:keepLines w:val="0"/>
        <w:adjustRightInd/>
        <w:snapToGrid/>
        <w:spacing w:before="0" w:after="0"/>
        <w:rPr>
          <w:rFonts w:ascii="黑体" w:hAnsi="黑体" w:eastAsia="黑体" w:cs="黑体"/>
          <w:sz w:val="30"/>
          <w:szCs w:val="30"/>
        </w:rPr>
      </w:pPr>
      <w:bookmarkStart w:id="36" w:name="_Toc23494"/>
      <w:bookmarkStart w:id="37" w:name="_Toc17710"/>
      <w:bookmarkStart w:id="38" w:name="_Toc31552"/>
      <w:bookmarkStart w:id="39" w:name="_Toc21596"/>
      <w:bookmarkStart w:id="40" w:name="_Toc18917"/>
      <w:r>
        <w:rPr>
          <w:rFonts w:hint="eastAsia" w:ascii="黑体" w:hAnsi="黑体" w:eastAsia="黑体" w:cs="黑体"/>
          <w:sz w:val="30"/>
          <w:szCs w:val="30"/>
        </w:rPr>
        <w:t>（三）绩效评价的依据</w:t>
      </w:r>
      <w:bookmarkEnd w:id="36"/>
      <w:bookmarkEnd w:id="37"/>
      <w:bookmarkEnd w:id="38"/>
      <w:bookmarkEnd w:id="39"/>
      <w:bookmarkEnd w:id="4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41" w:name="_Toc15060"/>
      <w:bookmarkStart w:id="42" w:name="_Toc2346"/>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8"/>
        <w:keepNext w:val="0"/>
        <w:keepLines w:val="0"/>
        <w:adjustRightInd/>
        <w:snapToGrid/>
        <w:spacing w:before="0" w:after="0"/>
        <w:rPr>
          <w:rFonts w:ascii="黑体" w:hAnsi="黑体" w:eastAsia="黑体" w:cs="黑体"/>
          <w:sz w:val="30"/>
          <w:szCs w:val="30"/>
        </w:rPr>
      </w:pPr>
      <w:bookmarkStart w:id="43" w:name="_Toc8381"/>
      <w:bookmarkStart w:id="44" w:name="_Toc18992"/>
      <w:bookmarkStart w:id="45" w:name="_Toc1796"/>
      <w:r>
        <w:rPr>
          <w:rFonts w:hint="eastAsia" w:ascii="黑体" w:hAnsi="黑体" w:eastAsia="黑体" w:cs="黑体"/>
          <w:sz w:val="30"/>
          <w:szCs w:val="30"/>
        </w:rPr>
        <w:t>（四）评分方法</w:t>
      </w:r>
      <w:bookmarkEnd w:id="41"/>
      <w:bookmarkEnd w:id="42"/>
      <w:bookmarkEnd w:id="43"/>
      <w:bookmarkEnd w:id="44"/>
      <w:bookmarkEnd w:id="45"/>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8"/>
        <w:keepNext w:val="0"/>
        <w:keepLines w:val="0"/>
        <w:adjustRightInd/>
        <w:snapToGrid/>
        <w:spacing w:before="0" w:after="0"/>
        <w:rPr>
          <w:rFonts w:ascii="黑体" w:hAnsi="黑体" w:eastAsia="黑体" w:cs="黑体"/>
          <w:sz w:val="30"/>
          <w:szCs w:val="30"/>
        </w:rPr>
      </w:pPr>
      <w:bookmarkStart w:id="46" w:name="_Toc7828"/>
      <w:bookmarkStart w:id="47" w:name="_Toc18185"/>
      <w:bookmarkStart w:id="48" w:name="_Toc17583"/>
      <w:bookmarkStart w:id="49" w:name="_Toc15508"/>
      <w:bookmarkStart w:id="50" w:name="_Toc10949"/>
      <w:r>
        <w:rPr>
          <w:rFonts w:hint="eastAsia" w:ascii="黑体" w:hAnsi="黑体" w:eastAsia="黑体" w:cs="黑体"/>
          <w:sz w:val="30"/>
          <w:szCs w:val="30"/>
        </w:rPr>
        <w:t>（五）绩效自评工作组织</w:t>
      </w:r>
      <w:bookmarkEnd w:id="46"/>
      <w:bookmarkEnd w:id="47"/>
      <w:bookmarkEnd w:id="48"/>
      <w:bookmarkEnd w:id="49"/>
      <w:bookmarkEnd w:id="50"/>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我单位依据《三门峡市财政局关于开展202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〕3号）相关要求，由</w:t>
      </w:r>
      <w:r>
        <w:rPr>
          <w:rFonts w:hint="eastAsia" w:ascii="仿宋_GB2312" w:hAnsi="仿宋_GB2312" w:eastAsia="仿宋_GB2312" w:cs="仿宋_GB2312"/>
          <w:sz w:val="32"/>
          <w:szCs w:val="32"/>
          <w:lang w:eastAsia="zh-CN"/>
        </w:rPr>
        <w:t>各业务科室</w:t>
      </w:r>
      <w:r>
        <w:rPr>
          <w:rFonts w:hint="eastAsia" w:ascii="仿宋_GB2312" w:hAnsi="仿宋_GB2312" w:eastAsia="仿宋_GB2312" w:cs="仿宋_GB2312"/>
          <w:sz w:val="32"/>
          <w:szCs w:val="32"/>
        </w:rPr>
        <w:t>根据具体项目指定专人配合进行自评。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1.召开自评专门会议，进行自评工作的统一部署并组织项目相关成员进行必要的政策法规学习；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.组织有效的调查研究、项目座谈、查阅相关资料；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7"/>
        <w:keepNext w:val="0"/>
        <w:keepLines w:val="0"/>
        <w:spacing w:before="0" w:after="0" w:line="360" w:lineRule="auto"/>
        <w:rPr>
          <w:rFonts w:ascii="黑体" w:hAnsi="黑体" w:eastAsia="黑体" w:cs="黑体"/>
          <w:sz w:val="32"/>
          <w:szCs w:val="32"/>
          <w:lang w:val="zh-CN"/>
        </w:rPr>
      </w:pPr>
      <w:bookmarkStart w:id="51" w:name="_Toc5171"/>
      <w:bookmarkStart w:id="52" w:name="_Toc17646"/>
      <w:bookmarkStart w:id="53" w:name="_Toc15639"/>
      <w:bookmarkStart w:id="54" w:name="_Toc16"/>
      <w:bookmarkStart w:id="55" w:name="_Toc12278"/>
      <w:r>
        <w:rPr>
          <w:rFonts w:hint="eastAsia" w:ascii="黑体" w:hAnsi="黑体" w:eastAsia="黑体" w:cs="黑体"/>
          <w:sz w:val="32"/>
          <w:szCs w:val="32"/>
        </w:rPr>
        <w:t>三、</w:t>
      </w:r>
      <w:r>
        <w:rPr>
          <w:rFonts w:ascii="黑体" w:hAnsi="黑体" w:eastAsia="黑体" w:cs="黑体"/>
          <w:sz w:val="32"/>
          <w:szCs w:val="32"/>
          <w:lang w:val="zh-CN"/>
        </w:rPr>
        <w:t>单位自评结果及分析</w:t>
      </w:r>
      <w:bookmarkEnd w:id="51"/>
      <w:bookmarkEnd w:id="52"/>
      <w:bookmarkEnd w:id="53"/>
      <w:bookmarkEnd w:id="54"/>
      <w:bookmarkEnd w:id="55"/>
    </w:p>
    <w:p>
      <w:pPr>
        <w:pStyle w:val="8"/>
        <w:keepNext w:val="0"/>
        <w:keepLines w:val="0"/>
        <w:adjustRightInd/>
        <w:snapToGrid/>
        <w:spacing w:before="0" w:after="0"/>
        <w:rPr>
          <w:rFonts w:ascii="黑体" w:hAnsi="黑体" w:eastAsia="黑体" w:cs="黑体"/>
          <w:sz w:val="30"/>
          <w:szCs w:val="30"/>
          <w:lang w:val="zh-CN"/>
        </w:rPr>
      </w:pPr>
      <w:bookmarkStart w:id="56" w:name="_Toc32649"/>
      <w:bookmarkStart w:id="57" w:name="_Toc8066"/>
      <w:bookmarkStart w:id="58" w:name="_Toc19991"/>
      <w:r>
        <w:rPr>
          <w:rFonts w:ascii="黑体" w:hAnsi="黑体" w:eastAsia="黑体" w:cs="黑体"/>
          <w:sz w:val="30"/>
          <w:szCs w:val="30"/>
          <w:lang w:val="zh-CN"/>
        </w:rPr>
        <w:t>（一）自评结果</w:t>
      </w:r>
      <w:bookmarkEnd w:id="56"/>
      <w:bookmarkEnd w:id="57"/>
      <w:bookmarkEnd w:id="58"/>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我单位通过对本项目调查研究、座谈、查阅相关资料，</w:t>
      </w:r>
      <w:r>
        <w:rPr>
          <w:rFonts w:hint="eastAsia" w:ascii="仿宋_GB2312" w:eastAsia="仿宋_GB2312" w:cs="仿宋_GB2312"/>
          <w:sz w:val="32"/>
          <w:szCs w:val="32"/>
          <w:lang w:val="zh-CN"/>
        </w:rPr>
        <w:t>根据相关政策要求进行打分，最终项目自评价得分为</w:t>
      </w:r>
      <w:r>
        <w:rPr>
          <w:rFonts w:hint="eastAsia" w:ascii="仿宋_GB2312" w:eastAsia="仿宋_GB2312" w:cs="仿宋_GB2312"/>
          <w:sz w:val="32"/>
          <w:szCs w:val="32"/>
          <w:lang w:val="en-US" w:eastAsia="zh-CN"/>
        </w:rPr>
        <w:t>92</w:t>
      </w:r>
      <w:r>
        <w:rPr>
          <w:rFonts w:hint="eastAsia" w:ascii="仿宋_GB2312" w:eastAsia="仿宋_GB2312" w:cs="仿宋_GB2312"/>
          <w:sz w:val="32"/>
          <w:szCs w:val="32"/>
          <w:lang w:val="zh-CN"/>
        </w:rPr>
        <w:t>分，</w:t>
      </w:r>
      <w:r>
        <w:rPr>
          <w:rFonts w:hint="eastAsia" w:ascii="仿宋_GB2312" w:hAnsi="仿宋_GB2312" w:eastAsia="仿宋_GB2312" w:cs="仿宋_GB2312"/>
          <w:sz w:val="32"/>
          <w:szCs w:val="32"/>
          <w:lang w:val="zh-CN"/>
        </w:rPr>
        <w:t>评价结果为优。</w:t>
      </w:r>
    </w:p>
    <w:p>
      <w:pPr>
        <w:pStyle w:val="7"/>
        <w:keepNext w:val="0"/>
        <w:keepLines w:val="0"/>
        <w:numPr>
          <w:ilvl w:val="0"/>
          <w:numId w:val="2"/>
        </w:numPr>
        <w:spacing w:before="0" w:after="0" w:line="360" w:lineRule="auto"/>
        <w:rPr>
          <w:rFonts w:ascii="黑体" w:hAnsi="黑体" w:eastAsia="黑体" w:cs="黑体"/>
          <w:sz w:val="32"/>
          <w:szCs w:val="32"/>
          <w:lang w:val="zh-CN"/>
        </w:rPr>
      </w:pPr>
      <w:bookmarkStart w:id="59" w:name="_Toc11209"/>
      <w:bookmarkStart w:id="60" w:name="_Toc29526"/>
      <w:bookmarkStart w:id="61" w:name="_Toc17393"/>
      <w:r>
        <w:rPr>
          <w:rFonts w:ascii="黑体" w:hAnsi="黑体" w:eastAsia="黑体" w:cs="黑体"/>
          <w:sz w:val="32"/>
          <w:szCs w:val="32"/>
          <w:lang w:val="zh-CN"/>
        </w:rPr>
        <w:t>自评发现的问题及整改措施</w:t>
      </w:r>
      <w:bookmarkEnd w:id="59"/>
      <w:bookmarkEnd w:id="60"/>
      <w:bookmarkEnd w:id="61"/>
      <w:bookmarkStart w:id="62" w:name="_Toc17190"/>
      <w:bookmarkStart w:id="63" w:name="_Toc9511"/>
    </w:p>
    <w:bookmarkEnd w:id="62"/>
    <w:bookmarkEnd w:id="63"/>
    <w:p>
      <w:pPr>
        <w:spacing w:line="600" w:lineRule="exact"/>
        <w:ind w:firstLine="640" w:firstLineChars="200"/>
        <w:rPr>
          <w:rFonts w:ascii="仿宋_GB2312" w:hAnsi="仿宋_GB2312" w:eastAsia="仿宋_GB2312" w:cs="仿宋_GB2312"/>
          <w:bCs/>
          <w:color w:val="000000"/>
          <w:sz w:val="32"/>
          <w:szCs w:val="32"/>
        </w:rPr>
      </w:pPr>
      <w:r>
        <w:rPr>
          <w:rFonts w:ascii="仿宋_GB2312" w:hAnsi="仿宋_GB2312" w:eastAsia="仿宋_GB2312" w:cs="仿宋_GB2312"/>
          <w:bCs/>
          <w:color w:val="000000"/>
          <w:sz w:val="32"/>
          <w:szCs w:val="32"/>
          <w:lang w:val="zh-CN"/>
        </w:rPr>
        <w:t>发现的问题</w:t>
      </w:r>
      <w:r>
        <w:rPr>
          <w:rFonts w:hint="eastAsia" w:ascii="仿宋_GB2312" w:hAnsi="仿宋_GB2312" w:eastAsia="仿宋_GB2312" w:cs="仿宋_GB2312"/>
          <w:bCs/>
          <w:color w:val="000000"/>
          <w:sz w:val="32"/>
          <w:szCs w:val="32"/>
          <w:lang w:val="zh-CN"/>
        </w:rPr>
        <w:t>：</w:t>
      </w:r>
      <w:r>
        <w:rPr>
          <w:rFonts w:hint="eastAsia" w:ascii="仿宋_GB2312" w:hAnsi="仿宋_GB2312" w:eastAsia="仿宋_GB2312" w:cs="仿宋_GB2312"/>
          <w:bCs/>
          <w:color w:val="000000"/>
          <w:sz w:val="32"/>
          <w:szCs w:val="32"/>
        </w:rPr>
        <w:t>一是绩效管理体系需要逐渐健全。首先，需要进一步建立预算绩效管理制度，为我单位预算绩效管理工作提供强有力的制度保障；其次，需要进一步建立健全绩效评价指标体系，对个性化指标进行不断优化调整。二是绩效目标设置有待进一步提升科学性。在今后的预算编制工作中，绩效目标的设置需更加科学化、精细化。</w:t>
      </w:r>
    </w:p>
    <w:p>
      <w:pPr>
        <w:spacing w:line="600" w:lineRule="exact"/>
        <w:ind w:firstLine="640" w:firstLineChars="200"/>
        <w:rPr>
          <w:rFonts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整改措施：一是建章立制，强化专项资金的监督，完善单位《财务管理制度》，为专项资金的使用管理提供制度保障。二是加强预算绩效宣传和评价工作力度，培养全员绩效管理和评价过程，人人参与绩效目标设置，真正做到“谁支出、谁评价，有支出、必问效”。协调业务科所和行政科所配合效率。要采取召开会议、专题培训、分类指导等多种形式，让预算单位领导和工作人员了解政策、开展工作。</w:t>
      </w:r>
    </w:p>
    <w:p>
      <w:pPr>
        <w:pStyle w:val="7"/>
        <w:keepNext w:val="0"/>
        <w:keepLines w:val="0"/>
        <w:numPr>
          <w:ilvl w:val="0"/>
          <w:numId w:val="2"/>
        </w:numPr>
        <w:spacing w:before="0" w:after="0" w:line="360" w:lineRule="auto"/>
        <w:rPr>
          <w:rFonts w:ascii="黑体" w:hAnsi="黑体" w:eastAsia="黑体" w:cs="黑体"/>
          <w:sz w:val="32"/>
          <w:szCs w:val="32"/>
          <w:lang w:val="zh-CN"/>
        </w:rPr>
      </w:pPr>
      <w:bookmarkStart w:id="64" w:name="_Toc19784"/>
      <w:bookmarkStart w:id="65" w:name="_Toc10493"/>
      <w:bookmarkStart w:id="66" w:name="_Toc31923"/>
      <w:r>
        <w:rPr>
          <w:rFonts w:ascii="黑体" w:hAnsi="黑体" w:eastAsia="黑体" w:cs="黑体"/>
          <w:sz w:val="32"/>
          <w:szCs w:val="32"/>
          <w:lang w:val="zh-CN"/>
        </w:rPr>
        <w:t>绩效自评工作建议及预算安排建议</w:t>
      </w:r>
      <w:bookmarkEnd w:id="64"/>
      <w:bookmarkEnd w:id="65"/>
      <w:bookmarkEnd w:id="66"/>
    </w:p>
    <w:p>
      <w:pPr>
        <w:pStyle w:val="17"/>
        <w:widowControl/>
        <w:spacing w:beforeAutospacing="0" w:afterAutospacing="0"/>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希望财政部门能组织开展预算绩效管理讲解，深入了解绩效上报工作的意义以及方式方法，更合理的安排资金用途。随着工作的深入推进，经费严重不能满足需要，因此申请再增加相关项目经费预算。</w:t>
      </w:r>
    </w:p>
    <w:p>
      <w:pPr>
        <w:pStyle w:val="7"/>
        <w:keepNext w:val="0"/>
        <w:keepLines w:val="0"/>
        <w:numPr>
          <w:ilvl w:val="0"/>
          <w:numId w:val="3"/>
        </w:numPr>
        <w:spacing w:before="0" w:after="0" w:line="360" w:lineRule="auto"/>
        <w:rPr>
          <w:rFonts w:ascii="黑体" w:hAnsi="黑体" w:eastAsia="黑体" w:cs="黑体"/>
          <w:sz w:val="32"/>
          <w:szCs w:val="32"/>
          <w:lang w:val="zh-CN"/>
        </w:rPr>
      </w:pPr>
      <w:bookmarkStart w:id="67" w:name="_Toc4014"/>
      <w:bookmarkStart w:id="68" w:name="_Toc28069"/>
      <w:bookmarkStart w:id="69" w:name="_Toc6756"/>
      <w:r>
        <w:rPr>
          <w:rFonts w:ascii="黑体" w:hAnsi="黑体" w:eastAsia="黑体" w:cs="黑体"/>
          <w:sz w:val="32"/>
          <w:szCs w:val="32"/>
          <w:lang w:val="zh-CN"/>
        </w:rPr>
        <w:t>其他需要说明的问题</w:t>
      </w:r>
      <w:bookmarkEnd w:id="67"/>
      <w:bookmarkEnd w:id="68"/>
      <w:bookmarkEnd w:id="69"/>
    </w:p>
    <w:p>
      <w:pPr>
        <w:pStyle w:val="17"/>
        <w:widowControl/>
        <w:spacing w:beforeAutospacing="0" w:afterAutospacing="0"/>
        <w:ind w:firstLine="640" w:firstLineChars="200"/>
        <w:jc w:val="both"/>
        <w:rPr>
          <w:rFonts w:ascii="仿宋_GB2312" w:hAnsi="仿宋_GB2312" w:eastAsia="仿宋_GB2312" w:cs="仿宋_GB2312"/>
          <w:b/>
          <w:sz w:val="32"/>
          <w:szCs w:val="32"/>
        </w:rPr>
      </w:pPr>
      <w:bookmarkStart w:id="70" w:name="_Toc10246"/>
      <w:bookmarkStart w:id="71" w:name="_Toc32568"/>
      <w:bookmarkStart w:id="72" w:name="_Toc3701"/>
      <w:r>
        <w:rPr>
          <w:rFonts w:hint="eastAsia" w:ascii="仿宋_GB2312" w:hAnsi="仿宋_GB2312" w:eastAsia="仿宋_GB2312" w:cs="仿宋_GB2312"/>
          <w:sz w:val="32"/>
          <w:szCs w:val="32"/>
        </w:rPr>
        <w:t>需要说明的是：受多种因素影响，部分指标值难以考察取证</w:t>
      </w:r>
      <w:bookmarkEnd w:id="70"/>
      <w:bookmarkStart w:id="73" w:name="_Toc7176"/>
      <w:bookmarkStart w:id="74" w:name="_Toc12241"/>
      <w:r>
        <w:rPr>
          <w:rFonts w:hint="eastAsia" w:ascii="仿宋_GB2312" w:hAnsi="仿宋_GB2312" w:eastAsia="仿宋_GB2312" w:cs="仿宋_GB2312"/>
          <w:sz w:val="32"/>
          <w:szCs w:val="32"/>
        </w:rPr>
        <w:t>。</w:t>
      </w:r>
      <w:bookmarkEnd w:id="71"/>
      <w:bookmarkEnd w:id="72"/>
    </w:p>
    <w:bookmarkEnd w:id="73"/>
    <w:bookmarkEnd w:id="74"/>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1F6B38"/>
    <w:multiLevelType w:val="singleLevel"/>
    <w:tmpl w:val="AF1F6B38"/>
    <w:lvl w:ilvl="0" w:tentative="0">
      <w:start w:val="2"/>
      <w:numFmt w:val="chineseCounting"/>
      <w:suff w:val="nothing"/>
      <w:lvlText w:val="（%1）"/>
      <w:lvlJc w:val="left"/>
      <w:rPr>
        <w:rFonts w:hint="eastAsia"/>
      </w:rPr>
    </w:lvl>
  </w:abstractNum>
  <w:abstractNum w:abstractNumId="1">
    <w:nsid w:val="C784B2E0"/>
    <w:multiLevelType w:val="singleLevel"/>
    <w:tmpl w:val="C784B2E0"/>
    <w:lvl w:ilvl="0" w:tentative="0">
      <w:start w:val="4"/>
      <w:numFmt w:val="chineseCounting"/>
      <w:suff w:val="nothing"/>
      <w:lvlText w:val="%1、"/>
      <w:lvlJc w:val="left"/>
      <w:rPr>
        <w:rFonts w:hint="eastAsia"/>
      </w:rPr>
    </w:lvl>
  </w:abstractNum>
  <w:abstractNum w:abstractNumId="2">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mYTUyY2Y1MDJiZjIyYjdiMjQzMDFmYzRiYmU4MWIifQ=="/>
  </w:docVars>
  <w:rsids>
    <w:rsidRoot w:val="00172A27"/>
    <w:rsid w:val="000A65E2"/>
    <w:rsid w:val="00130BF5"/>
    <w:rsid w:val="00172A27"/>
    <w:rsid w:val="004174F6"/>
    <w:rsid w:val="00485AF6"/>
    <w:rsid w:val="0055721E"/>
    <w:rsid w:val="005C4F10"/>
    <w:rsid w:val="006225BA"/>
    <w:rsid w:val="00D403CC"/>
    <w:rsid w:val="00E0311F"/>
    <w:rsid w:val="00F75E12"/>
    <w:rsid w:val="00FC7805"/>
    <w:rsid w:val="01CD24AB"/>
    <w:rsid w:val="01D11DD0"/>
    <w:rsid w:val="03687896"/>
    <w:rsid w:val="03A74472"/>
    <w:rsid w:val="03CF39B3"/>
    <w:rsid w:val="03E3527A"/>
    <w:rsid w:val="03FB180A"/>
    <w:rsid w:val="04482195"/>
    <w:rsid w:val="0475434D"/>
    <w:rsid w:val="04E85A96"/>
    <w:rsid w:val="05310285"/>
    <w:rsid w:val="05E94B02"/>
    <w:rsid w:val="06022C39"/>
    <w:rsid w:val="06241739"/>
    <w:rsid w:val="06403200"/>
    <w:rsid w:val="067D4911"/>
    <w:rsid w:val="06C8682F"/>
    <w:rsid w:val="06CD2CAD"/>
    <w:rsid w:val="06D44DB6"/>
    <w:rsid w:val="07360589"/>
    <w:rsid w:val="073C001E"/>
    <w:rsid w:val="076D7ABD"/>
    <w:rsid w:val="07EC720E"/>
    <w:rsid w:val="086F44B9"/>
    <w:rsid w:val="09517008"/>
    <w:rsid w:val="09520821"/>
    <w:rsid w:val="0B0A783A"/>
    <w:rsid w:val="0B714783"/>
    <w:rsid w:val="0BA212E3"/>
    <w:rsid w:val="0BDB688F"/>
    <w:rsid w:val="0C1D2D9B"/>
    <w:rsid w:val="0C2B3B54"/>
    <w:rsid w:val="0D057CBC"/>
    <w:rsid w:val="0D3A2065"/>
    <w:rsid w:val="0D5B101A"/>
    <w:rsid w:val="0DAC117D"/>
    <w:rsid w:val="0DC63D28"/>
    <w:rsid w:val="0E00771B"/>
    <w:rsid w:val="0E243570"/>
    <w:rsid w:val="0E9C42BC"/>
    <w:rsid w:val="0EDC6DE7"/>
    <w:rsid w:val="0EF760A8"/>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AC70A9"/>
    <w:rsid w:val="14BD44C7"/>
    <w:rsid w:val="14DE3D76"/>
    <w:rsid w:val="1512287B"/>
    <w:rsid w:val="155B3210"/>
    <w:rsid w:val="15C00483"/>
    <w:rsid w:val="15C71E5A"/>
    <w:rsid w:val="15EB0E81"/>
    <w:rsid w:val="15F135FB"/>
    <w:rsid w:val="16A86570"/>
    <w:rsid w:val="16AE72D0"/>
    <w:rsid w:val="178B4BED"/>
    <w:rsid w:val="17A009E3"/>
    <w:rsid w:val="18074165"/>
    <w:rsid w:val="18180FA8"/>
    <w:rsid w:val="184D4BF4"/>
    <w:rsid w:val="18570359"/>
    <w:rsid w:val="186944EF"/>
    <w:rsid w:val="18B769CA"/>
    <w:rsid w:val="19357C12"/>
    <w:rsid w:val="196138D2"/>
    <w:rsid w:val="19953697"/>
    <w:rsid w:val="19BA43E3"/>
    <w:rsid w:val="1A4450BF"/>
    <w:rsid w:val="1AC12C79"/>
    <w:rsid w:val="1AE34C3F"/>
    <w:rsid w:val="1AF11A8C"/>
    <w:rsid w:val="1B7911A5"/>
    <w:rsid w:val="1B8B0E1E"/>
    <w:rsid w:val="1BE30AAA"/>
    <w:rsid w:val="1BFD0F60"/>
    <w:rsid w:val="1C29383C"/>
    <w:rsid w:val="1C48271E"/>
    <w:rsid w:val="1D47313A"/>
    <w:rsid w:val="1D676463"/>
    <w:rsid w:val="1DC41A36"/>
    <w:rsid w:val="1DFC4D2D"/>
    <w:rsid w:val="1E216956"/>
    <w:rsid w:val="1E7C7AF5"/>
    <w:rsid w:val="1EA51E7C"/>
    <w:rsid w:val="1EC01BD4"/>
    <w:rsid w:val="1F3A1FDC"/>
    <w:rsid w:val="1F6E60BF"/>
    <w:rsid w:val="1FA65F70"/>
    <w:rsid w:val="1FFB2D1C"/>
    <w:rsid w:val="206808E8"/>
    <w:rsid w:val="20E32BEF"/>
    <w:rsid w:val="212C46B1"/>
    <w:rsid w:val="21ED3453"/>
    <w:rsid w:val="21EE6A3C"/>
    <w:rsid w:val="22715B15"/>
    <w:rsid w:val="23AC70BE"/>
    <w:rsid w:val="24033141"/>
    <w:rsid w:val="25795502"/>
    <w:rsid w:val="25AB5C72"/>
    <w:rsid w:val="266D3B8D"/>
    <w:rsid w:val="2673135B"/>
    <w:rsid w:val="274970C1"/>
    <w:rsid w:val="27A7784A"/>
    <w:rsid w:val="288C42DB"/>
    <w:rsid w:val="2B147896"/>
    <w:rsid w:val="2B25139B"/>
    <w:rsid w:val="2B424556"/>
    <w:rsid w:val="2CC11655"/>
    <w:rsid w:val="2CF66F3B"/>
    <w:rsid w:val="2D96497A"/>
    <w:rsid w:val="2DFC3ABA"/>
    <w:rsid w:val="2E3B1D53"/>
    <w:rsid w:val="2E874CFC"/>
    <w:rsid w:val="2ED70AD7"/>
    <w:rsid w:val="2F2873CE"/>
    <w:rsid w:val="2F4D5996"/>
    <w:rsid w:val="2F7A178E"/>
    <w:rsid w:val="2FDE5397"/>
    <w:rsid w:val="2FE87747"/>
    <w:rsid w:val="30593884"/>
    <w:rsid w:val="308527DF"/>
    <w:rsid w:val="3088385B"/>
    <w:rsid w:val="30B9326C"/>
    <w:rsid w:val="318B0952"/>
    <w:rsid w:val="31DC1184"/>
    <w:rsid w:val="31DF7CC7"/>
    <w:rsid w:val="31FD63AA"/>
    <w:rsid w:val="3229235E"/>
    <w:rsid w:val="3229411A"/>
    <w:rsid w:val="322D471F"/>
    <w:rsid w:val="32870C13"/>
    <w:rsid w:val="32C318DF"/>
    <w:rsid w:val="33481B81"/>
    <w:rsid w:val="335509C7"/>
    <w:rsid w:val="34801387"/>
    <w:rsid w:val="35323F4D"/>
    <w:rsid w:val="35DB2B43"/>
    <w:rsid w:val="35F5341F"/>
    <w:rsid w:val="364D7507"/>
    <w:rsid w:val="36853699"/>
    <w:rsid w:val="36F95D7D"/>
    <w:rsid w:val="37113F81"/>
    <w:rsid w:val="383E476D"/>
    <w:rsid w:val="38587408"/>
    <w:rsid w:val="38774D48"/>
    <w:rsid w:val="38CC5ED8"/>
    <w:rsid w:val="3902565F"/>
    <w:rsid w:val="39694146"/>
    <w:rsid w:val="39BC15A2"/>
    <w:rsid w:val="3A7917FB"/>
    <w:rsid w:val="3B70590B"/>
    <w:rsid w:val="3B837370"/>
    <w:rsid w:val="3B8E0BEC"/>
    <w:rsid w:val="3C1259C9"/>
    <w:rsid w:val="3C21355B"/>
    <w:rsid w:val="3C5C335B"/>
    <w:rsid w:val="3C9B0FCA"/>
    <w:rsid w:val="3D162FD9"/>
    <w:rsid w:val="3D5E14BC"/>
    <w:rsid w:val="3D606B02"/>
    <w:rsid w:val="3DB053D5"/>
    <w:rsid w:val="3DBB4886"/>
    <w:rsid w:val="3DE30037"/>
    <w:rsid w:val="3DEA26E4"/>
    <w:rsid w:val="3E873D85"/>
    <w:rsid w:val="3EE01EF4"/>
    <w:rsid w:val="3FC65CE4"/>
    <w:rsid w:val="3FE25C03"/>
    <w:rsid w:val="3FFD4C51"/>
    <w:rsid w:val="404D4025"/>
    <w:rsid w:val="40EE198F"/>
    <w:rsid w:val="40F2114B"/>
    <w:rsid w:val="4162246E"/>
    <w:rsid w:val="419E0086"/>
    <w:rsid w:val="41B94BAA"/>
    <w:rsid w:val="41B94E6B"/>
    <w:rsid w:val="41BA54AD"/>
    <w:rsid w:val="41DA5F81"/>
    <w:rsid w:val="426274DE"/>
    <w:rsid w:val="42943691"/>
    <w:rsid w:val="438F1213"/>
    <w:rsid w:val="43EF7CB6"/>
    <w:rsid w:val="441214EF"/>
    <w:rsid w:val="44A76620"/>
    <w:rsid w:val="44C9039D"/>
    <w:rsid w:val="45A21C1C"/>
    <w:rsid w:val="45DB5816"/>
    <w:rsid w:val="463955F5"/>
    <w:rsid w:val="467F19D6"/>
    <w:rsid w:val="46F53775"/>
    <w:rsid w:val="470B471F"/>
    <w:rsid w:val="471D1F9A"/>
    <w:rsid w:val="47237B65"/>
    <w:rsid w:val="475C1AA9"/>
    <w:rsid w:val="47AC6349"/>
    <w:rsid w:val="47B41DDF"/>
    <w:rsid w:val="47B9772E"/>
    <w:rsid w:val="47EA4F22"/>
    <w:rsid w:val="48316427"/>
    <w:rsid w:val="487A1FC6"/>
    <w:rsid w:val="48EE6267"/>
    <w:rsid w:val="491C4AEB"/>
    <w:rsid w:val="492B5C25"/>
    <w:rsid w:val="49395B00"/>
    <w:rsid w:val="496C68DE"/>
    <w:rsid w:val="4A257AB1"/>
    <w:rsid w:val="4A5C7F26"/>
    <w:rsid w:val="4ABA4758"/>
    <w:rsid w:val="4ABE1EC5"/>
    <w:rsid w:val="4AFF07C1"/>
    <w:rsid w:val="4C2B3CBB"/>
    <w:rsid w:val="4D656886"/>
    <w:rsid w:val="4DCD728F"/>
    <w:rsid w:val="4E1229E8"/>
    <w:rsid w:val="4EE84F7D"/>
    <w:rsid w:val="4F261EF2"/>
    <w:rsid w:val="4F3F1FEB"/>
    <w:rsid w:val="508005C7"/>
    <w:rsid w:val="50963008"/>
    <w:rsid w:val="50D26009"/>
    <w:rsid w:val="512F199A"/>
    <w:rsid w:val="515E556F"/>
    <w:rsid w:val="51CE5D14"/>
    <w:rsid w:val="521774C0"/>
    <w:rsid w:val="523F7E77"/>
    <w:rsid w:val="526A022B"/>
    <w:rsid w:val="52942ED4"/>
    <w:rsid w:val="52FE679A"/>
    <w:rsid w:val="53635160"/>
    <w:rsid w:val="53F02BBD"/>
    <w:rsid w:val="54087C43"/>
    <w:rsid w:val="54151AB3"/>
    <w:rsid w:val="542348F7"/>
    <w:rsid w:val="547C2982"/>
    <w:rsid w:val="54D12A5B"/>
    <w:rsid w:val="553A3D22"/>
    <w:rsid w:val="553D7376"/>
    <w:rsid w:val="555C7E27"/>
    <w:rsid w:val="56D01C12"/>
    <w:rsid w:val="56EA0736"/>
    <w:rsid w:val="56F72425"/>
    <w:rsid w:val="56F94133"/>
    <w:rsid w:val="570730E6"/>
    <w:rsid w:val="573D02BD"/>
    <w:rsid w:val="57546843"/>
    <w:rsid w:val="57D22477"/>
    <w:rsid w:val="581B3AC4"/>
    <w:rsid w:val="58270281"/>
    <w:rsid w:val="58836238"/>
    <w:rsid w:val="589247BF"/>
    <w:rsid w:val="58BF2BBA"/>
    <w:rsid w:val="58C3256A"/>
    <w:rsid w:val="58C80F7B"/>
    <w:rsid w:val="58CE6F4C"/>
    <w:rsid w:val="58E24971"/>
    <w:rsid w:val="596661B2"/>
    <w:rsid w:val="59964EC4"/>
    <w:rsid w:val="59CA1E32"/>
    <w:rsid w:val="5A9D143D"/>
    <w:rsid w:val="5AE66300"/>
    <w:rsid w:val="5BBA585B"/>
    <w:rsid w:val="5BF472B6"/>
    <w:rsid w:val="5C447075"/>
    <w:rsid w:val="5C9E6E6F"/>
    <w:rsid w:val="5CC9121A"/>
    <w:rsid w:val="5D2A03F6"/>
    <w:rsid w:val="5DAE6520"/>
    <w:rsid w:val="5DB30328"/>
    <w:rsid w:val="5DCF0D9F"/>
    <w:rsid w:val="5E250CB8"/>
    <w:rsid w:val="5E370097"/>
    <w:rsid w:val="5E3D49B5"/>
    <w:rsid w:val="5E6922B4"/>
    <w:rsid w:val="5E9667BD"/>
    <w:rsid w:val="5EAB68AB"/>
    <w:rsid w:val="5EF73BE2"/>
    <w:rsid w:val="5F3D3065"/>
    <w:rsid w:val="608A1152"/>
    <w:rsid w:val="608B20EF"/>
    <w:rsid w:val="60967BC8"/>
    <w:rsid w:val="609D521D"/>
    <w:rsid w:val="61382481"/>
    <w:rsid w:val="61BF196A"/>
    <w:rsid w:val="61F11689"/>
    <w:rsid w:val="61F873E4"/>
    <w:rsid w:val="62600656"/>
    <w:rsid w:val="62A44963"/>
    <w:rsid w:val="631349E3"/>
    <w:rsid w:val="631E05FA"/>
    <w:rsid w:val="63436BA2"/>
    <w:rsid w:val="634376F7"/>
    <w:rsid w:val="63D85F0D"/>
    <w:rsid w:val="65900A51"/>
    <w:rsid w:val="659C3396"/>
    <w:rsid w:val="65FC37D4"/>
    <w:rsid w:val="665935D9"/>
    <w:rsid w:val="66DA6564"/>
    <w:rsid w:val="677A24B6"/>
    <w:rsid w:val="68503E83"/>
    <w:rsid w:val="68781637"/>
    <w:rsid w:val="687A78F9"/>
    <w:rsid w:val="68B16520"/>
    <w:rsid w:val="68CE1443"/>
    <w:rsid w:val="69124FDF"/>
    <w:rsid w:val="69901EC0"/>
    <w:rsid w:val="69CA49FB"/>
    <w:rsid w:val="6A043746"/>
    <w:rsid w:val="6A5357A1"/>
    <w:rsid w:val="6A78052C"/>
    <w:rsid w:val="6A875334"/>
    <w:rsid w:val="6A884503"/>
    <w:rsid w:val="6AC5360B"/>
    <w:rsid w:val="6ADF0274"/>
    <w:rsid w:val="6AFC6911"/>
    <w:rsid w:val="6B1B61E1"/>
    <w:rsid w:val="6B206B79"/>
    <w:rsid w:val="6BC85164"/>
    <w:rsid w:val="6BF42240"/>
    <w:rsid w:val="6BFB6BCB"/>
    <w:rsid w:val="6C842205"/>
    <w:rsid w:val="6D225641"/>
    <w:rsid w:val="6D3F6198"/>
    <w:rsid w:val="6E0B664E"/>
    <w:rsid w:val="6E722F0C"/>
    <w:rsid w:val="6E8225F1"/>
    <w:rsid w:val="6F472C16"/>
    <w:rsid w:val="6F9718E7"/>
    <w:rsid w:val="6FD05487"/>
    <w:rsid w:val="70862B44"/>
    <w:rsid w:val="70C3452F"/>
    <w:rsid w:val="71356FE0"/>
    <w:rsid w:val="718805D0"/>
    <w:rsid w:val="72CC0D0F"/>
    <w:rsid w:val="731E1707"/>
    <w:rsid w:val="73C72D5A"/>
    <w:rsid w:val="73F551D4"/>
    <w:rsid w:val="743C7925"/>
    <w:rsid w:val="7449202E"/>
    <w:rsid w:val="74A269CA"/>
    <w:rsid w:val="74A72714"/>
    <w:rsid w:val="74ED7A64"/>
    <w:rsid w:val="74F22980"/>
    <w:rsid w:val="7546131E"/>
    <w:rsid w:val="754822C9"/>
    <w:rsid w:val="7549328A"/>
    <w:rsid w:val="757E669A"/>
    <w:rsid w:val="765561D3"/>
    <w:rsid w:val="767F3925"/>
    <w:rsid w:val="76E55379"/>
    <w:rsid w:val="772050C3"/>
    <w:rsid w:val="773D4564"/>
    <w:rsid w:val="776948CD"/>
    <w:rsid w:val="77C57565"/>
    <w:rsid w:val="77F814DF"/>
    <w:rsid w:val="78746F95"/>
    <w:rsid w:val="78B6314A"/>
    <w:rsid w:val="79181E93"/>
    <w:rsid w:val="7921275B"/>
    <w:rsid w:val="79905BFC"/>
    <w:rsid w:val="79E41632"/>
    <w:rsid w:val="79FD3998"/>
    <w:rsid w:val="7A3D329F"/>
    <w:rsid w:val="7A620D4B"/>
    <w:rsid w:val="7AA11E6E"/>
    <w:rsid w:val="7AA60219"/>
    <w:rsid w:val="7B71655A"/>
    <w:rsid w:val="7B8168E2"/>
    <w:rsid w:val="7BFF01C9"/>
    <w:rsid w:val="7C745F09"/>
    <w:rsid w:val="7CA377F5"/>
    <w:rsid w:val="7CD5349A"/>
    <w:rsid w:val="7D0A36F5"/>
    <w:rsid w:val="7D2726CD"/>
    <w:rsid w:val="7D2F6FEA"/>
    <w:rsid w:val="7D347EF8"/>
    <w:rsid w:val="7E252DAF"/>
    <w:rsid w:val="7E7D369D"/>
    <w:rsid w:val="7EBE117D"/>
    <w:rsid w:val="7EC22AF7"/>
    <w:rsid w:val="7F442C7A"/>
    <w:rsid w:val="7F850294"/>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8"/>
    <w:qFormat/>
    <w:uiPriority w:val="0"/>
    <w:pPr>
      <w:keepNext/>
      <w:keepLines/>
      <w:spacing w:before="340" w:after="330" w:line="576" w:lineRule="auto"/>
      <w:outlineLvl w:val="0"/>
    </w:pPr>
    <w:rPr>
      <w:b/>
      <w:kern w:val="44"/>
      <w:sz w:val="44"/>
    </w:rPr>
  </w:style>
  <w:style w:type="paragraph" w:styleId="8">
    <w:name w:val="heading 2"/>
    <w:basedOn w:val="1"/>
    <w:next w:val="9"/>
    <w:link w:val="22"/>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9">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10">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rPr>
      <w:rFonts w:ascii="Times New Roman" w:hAnsi="Times New Roman" w:eastAsia="宋体" w:cs="Times New Roman"/>
    </w:rPr>
  </w:style>
  <w:style w:type="paragraph" w:styleId="3">
    <w:name w:val="Body Text Indent"/>
    <w:basedOn w:val="1"/>
    <w:next w:val="4"/>
    <w:qFormat/>
    <w:uiPriority w:val="0"/>
    <w:pPr>
      <w:spacing w:after="120"/>
      <w:ind w:left="420" w:leftChars="200"/>
    </w:pPr>
    <w:rPr>
      <w:rFonts w:ascii="Times New Roman" w:hAnsi="Times New Roman" w:eastAsia="宋体" w:cs="Times New Roman"/>
    </w:rPr>
  </w:style>
  <w:style w:type="paragraph" w:styleId="4">
    <w:name w:val="Normal Indent"/>
    <w:basedOn w:val="1"/>
    <w:qFormat/>
    <w:uiPriority w:val="0"/>
    <w:pPr>
      <w:spacing w:line="360" w:lineRule="auto"/>
      <w:ind w:firstLine="567"/>
    </w:pPr>
    <w:rPr>
      <w:rFonts w:hAnsi="宋体"/>
      <w:kern w:val="0"/>
      <w:sz w:val="28"/>
      <w:szCs w:val="20"/>
    </w:rPr>
  </w:style>
  <w:style w:type="paragraph" w:styleId="5">
    <w:name w:val="Body Text First Indent"/>
    <w:basedOn w:val="6"/>
    <w:next w:val="1"/>
    <w:qFormat/>
    <w:uiPriority w:val="0"/>
    <w:pPr>
      <w:ind w:firstLine="420" w:firstLineChars="100"/>
    </w:pPr>
  </w:style>
  <w:style w:type="paragraph" w:styleId="6">
    <w:name w:val="Body Text"/>
    <w:basedOn w:val="1"/>
    <w:next w:val="1"/>
    <w:qFormat/>
    <w:uiPriority w:val="0"/>
    <w:pPr>
      <w:spacing w:after="120"/>
    </w:pPr>
  </w:style>
  <w:style w:type="paragraph" w:styleId="11">
    <w:name w:val="annotation text"/>
    <w:basedOn w:val="1"/>
    <w:qFormat/>
    <w:uiPriority w:val="0"/>
    <w:pPr>
      <w:jc w:val="left"/>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Body Text 2"/>
    <w:basedOn w:val="1"/>
    <w:qFormat/>
    <w:uiPriority w:val="0"/>
    <w:pPr>
      <w:spacing w:after="120" w:line="480" w:lineRule="auto"/>
    </w:pPr>
  </w:style>
  <w:style w:type="paragraph" w:styleId="17">
    <w:name w:val="Normal (Web)"/>
    <w:basedOn w:val="1"/>
    <w:qFormat/>
    <w:uiPriority w:val="0"/>
    <w:pPr>
      <w:spacing w:beforeAutospacing="1" w:afterAutospacing="1"/>
      <w:jc w:val="left"/>
    </w:pPr>
    <w:rPr>
      <w:rFonts w:cs="Times New Roman"/>
      <w:kern w:val="0"/>
      <w:sz w:val="24"/>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customStyle="1" w:styleId="22">
    <w:name w:val="标题 2 字符"/>
    <w:link w:val="8"/>
    <w:qFormat/>
    <w:uiPriority w:val="9"/>
    <w:rPr>
      <w:rFonts w:ascii="Times New Roman" w:hAnsi="Times New Roman" w:eastAsia="仿宋" w:cs="Times New Roman"/>
      <w:b/>
      <w:sz w:val="32"/>
      <w:szCs w:val="32"/>
    </w:rPr>
  </w:style>
  <w:style w:type="character" w:customStyle="1" w:styleId="23">
    <w:name w:val="font21"/>
    <w:basedOn w:val="20"/>
    <w:qFormat/>
    <w:uiPriority w:val="0"/>
    <w:rPr>
      <w:rFonts w:hint="eastAsia" w:ascii="黑体" w:hAnsi="宋体" w:eastAsia="黑体" w:cs="黑体"/>
      <w:color w:val="000000"/>
      <w:sz w:val="13"/>
      <w:szCs w:val="13"/>
      <w:u w:val="none"/>
    </w:rPr>
  </w:style>
  <w:style w:type="character" w:customStyle="1" w:styleId="24">
    <w:name w:val="font11"/>
    <w:basedOn w:val="20"/>
    <w:qFormat/>
    <w:uiPriority w:val="0"/>
    <w:rPr>
      <w:rFonts w:hint="default" w:ascii="Times New Roman" w:hAnsi="Times New Roman" w:cs="Times New Roman"/>
      <w:color w:val="000000"/>
      <w:sz w:val="13"/>
      <w:szCs w:val="13"/>
      <w:u w:val="none"/>
    </w:rPr>
  </w:style>
  <w:style w:type="character" w:customStyle="1" w:styleId="25">
    <w:name w:val="font51"/>
    <w:basedOn w:val="20"/>
    <w:qFormat/>
    <w:uiPriority w:val="0"/>
    <w:rPr>
      <w:rFonts w:hint="eastAsia" w:ascii="黑体" w:hAnsi="宋体" w:eastAsia="黑体" w:cs="黑体"/>
      <w:color w:val="000000"/>
      <w:sz w:val="13"/>
      <w:szCs w:val="13"/>
      <w:u w:val="none"/>
      <w:vertAlign w:val="superscript"/>
    </w:rPr>
  </w:style>
  <w:style w:type="character" w:customStyle="1" w:styleId="26">
    <w:name w:val="font41"/>
    <w:basedOn w:val="20"/>
    <w:qFormat/>
    <w:uiPriority w:val="0"/>
    <w:rPr>
      <w:rFonts w:hint="eastAsia" w:ascii="宋体" w:hAnsi="宋体" w:eastAsia="宋体" w:cs="宋体"/>
      <w:color w:val="000000"/>
      <w:sz w:val="22"/>
      <w:szCs w:val="22"/>
      <w:u w:val="none"/>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30">
    <w:name w:val="font71"/>
    <w:basedOn w:val="2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3920</Words>
  <Characters>4131</Characters>
  <Lines>46</Lines>
  <Paragraphs>13</Paragraphs>
  <TotalTime>0</TotalTime>
  <ScaleCrop>false</ScaleCrop>
  <LinksUpToDate>false</LinksUpToDate>
  <CharactersWithSpaces>4219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2022-05-09T08:28:15Z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4B3C4B1663154315AE62B466B1CA8016</vt:lpwstr>
  </property>
</Properties>
</file>