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文星标宋" w:hAnsi="文星标宋" w:eastAsia="文星标宋"/>
          <w:sz w:val="32"/>
          <w:szCs w:val="32"/>
        </w:rPr>
      </w:pPr>
      <w:r>
        <w:rPr>
          <w:rFonts w:hint="eastAsia" w:ascii="文星标宋" w:hAnsi="文星标宋" w:eastAsia="文星标宋"/>
          <w:sz w:val="32"/>
          <w:szCs w:val="32"/>
        </w:rPr>
        <w:t>三门峡市</w:t>
      </w:r>
      <w:r>
        <w:rPr>
          <w:rFonts w:hint="eastAsia" w:ascii="文星标宋" w:hAnsi="文星标宋" w:eastAsia="文星标宋"/>
          <w:sz w:val="32"/>
          <w:szCs w:val="32"/>
          <w:lang w:eastAsia="zh-CN"/>
        </w:rPr>
        <w:t>市场</w:t>
      </w:r>
      <w:r>
        <w:rPr>
          <w:rFonts w:hint="eastAsia" w:ascii="文星标宋" w:hAnsi="文星标宋" w:eastAsia="文星标宋"/>
          <w:sz w:val="32"/>
          <w:szCs w:val="32"/>
        </w:rPr>
        <w:t>监督管理局</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center"/>
        <w:textAlignment w:val="auto"/>
        <w:outlineLvl w:val="9"/>
        <w:rPr>
          <w:rFonts w:hint="default" w:ascii="Hiragino Sans GB" w:hAnsi="Hiragino Sans GB" w:eastAsia="Hiragino Sans GB" w:cs="Hiragino Sans GB"/>
          <w:b w:val="0"/>
          <w:i w:val="0"/>
          <w:caps w:val="0"/>
          <w:color w:val="444444"/>
          <w:spacing w:val="0"/>
          <w:kern w:val="0"/>
          <w:sz w:val="21"/>
          <w:szCs w:val="21"/>
          <w:shd w:val="clear" w:fill="FFFFFF"/>
          <w:lang w:val="en-US" w:eastAsia="zh-CN" w:bidi="ar"/>
        </w:rPr>
      </w:pPr>
      <w:r>
        <w:rPr>
          <w:rFonts w:hint="eastAsia" w:ascii="文星标宋" w:hAnsi="文星标宋" w:eastAsia="文星标宋"/>
          <w:sz w:val="32"/>
          <w:szCs w:val="32"/>
        </w:rPr>
        <w:t>《医疗器械经营许可证》行政许可</w:t>
      </w:r>
      <w:r>
        <w:rPr>
          <w:rFonts w:hint="eastAsia" w:ascii="文星标宋" w:hAnsi="文星标宋" w:eastAsia="文星标宋"/>
          <w:sz w:val="32"/>
          <w:szCs w:val="32"/>
          <w:lang w:eastAsia="zh-CN"/>
        </w:rPr>
        <w:t>注销</w:t>
      </w:r>
      <w:r>
        <w:rPr>
          <w:rFonts w:hint="eastAsia" w:ascii="文星标宋" w:hAnsi="文星标宋" w:eastAsia="文星标宋"/>
          <w:sz w:val="32"/>
          <w:szCs w:val="32"/>
        </w:rPr>
        <w:t>公告（20</w:t>
      </w:r>
      <w:r>
        <w:rPr>
          <w:rFonts w:hint="eastAsia" w:ascii="文星标宋" w:hAnsi="文星标宋" w:eastAsia="文星标宋"/>
          <w:sz w:val="32"/>
          <w:szCs w:val="32"/>
          <w:lang w:val="en-US" w:eastAsia="zh-CN"/>
        </w:rPr>
        <w:t>22</w:t>
      </w:r>
      <w:r>
        <w:rPr>
          <w:rFonts w:hint="eastAsia" w:ascii="文星标宋" w:hAnsi="文星标宋" w:eastAsia="文星标宋"/>
          <w:sz w:val="32"/>
          <w:szCs w:val="32"/>
        </w:rPr>
        <w:t>第</w:t>
      </w:r>
      <w:r>
        <w:rPr>
          <w:rFonts w:hint="eastAsia" w:ascii="文星标宋" w:hAnsi="文星标宋" w:eastAsia="文星标宋"/>
          <w:sz w:val="32"/>
          <w:szCs w:val="32"/>
          <w:lang w:val="en-US" w:eastAsia="zh-CN"/>
        </w:rPr>
        <w:t>08</w:t>
      </w:r>
      <w:r>
        <w:rPr>
          <w:rFonts w:hint="eastAsia" w:ascii="文星标宋" w:hAnsi="文星标宋" w:eastAsia="文星标宋"/>
          <w:sz w:val="32"/>
          <w:szCs w:val="32"/>
        </w:rPr>
        <w:t>号</w:t>
      </w:r>
      <w:r>
        <w:rPr>
          <w:rFonts w:hint="eastAsia" w:ascii="文星标宋" w:hAnsi="文星标宋" w:eastAsia="文星标宋"/>
          <w:sz w:val="32"/>
          <w:szCs w:val="32"/>
          <w:lang w:eastAsia="zh-CN"/>
        </w:rPr>
        <w:t>）</w:t>
      </w:r>
      <w:r>
        <w:rPr>
          <w:rFonts w:hint="default" w:ascii="Hiragino Sans GB" w:hAnsi="Hiragino Sans GB" w:eastAsia="Hiragino Sans GB" w:cs="Hiragino Sans GB"/>
          <w:b w:val="0"/>
          <w:i w:val="0"/>
          <w:caps w:val="0"/>
          <w:color w:val="444444"/>
          <w:spacing w:val="0"/>
          <w:kern w:val="0"/>
          <w:sz w:val="21"/>
          <w:szCs w:val="21"/>
          <w:shd w:val="clear" w:fill="FFFFFF"/>
          <w:lang w:val="en-US" w:eastAsia="zh-CN" w:bidi="ar"/>
        </w:rPr>
        <w:br w:type="textWrapping"/>
      </w:r>
    </w:p>
    <w:p>
      <w:pPr>
        <w:ind w:firstLine="420" w:firstLineChars="20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left"/>
        <w:textAlignment w:val="auto"/>
        <w:outlineLvl w:val="9"/>
        <w:rPr>
          <w:rFonts w:hint="eastAsia" w:ascii="文星仿宋" w:hAnsi="文星仿宋" w:eastAsia="文星仿宋"/>
          <w:sz w:val="32"/>
          <w:szCs w:val="32"/>
          <w:lang w:val="en-US" w:eastAsia="zh-CN"/>
        </w:rPr>
      </w:pPr>
      <w:r>
        <w:rPr>
          <w:rFonts w:hint="eastAsia" w:ascii="文星仿宋" w:hAnsi="文星仿宋" w:eastAsia="文星仿宋"/>
          <w:sz w:val="32"/>
          <w:szCs w:val="32"/>
          <w:lang w:val="en-US" w:eastAsia="zh-CN"/>
        </w:rPr>
        <w:t xml:space="preserve">  河南宜致大药房有限公司义马兴苑店主动提出</w:t>
      </w:r>
      <w:r>
        <w:rPr>
          <w:rFonts w:hint="default" w:ascii="文星仿宋" w:hAnsi="文星仿宋" w:eastAsia="文星仿宋"/>
          <w:sz w:val="32"/>
          <w:szCs w:val="32"/>
          <w:lang w:val="en-US" w:eastAsia="zh-CN"/>
        </w:rPr>
        <w:t>申请</w:t>
      </w:r>
      <w:r>
        <w:rPr>
          <w:rFonts w:hint="eastAsia" w:ascii="文星仿宋" w:hAnsi="文星仿宋" w:eastAsia="文星仿宋"/>
          <w:sz w:val="32"/>
          <w:szCs w:val="32"/>
          <w:lang w:val="en-US" w:eastAsia="zh-CN"/>
        </w:rPr>
        <w:t>注销《医疗器械经营许可证》，我局</w:t>
      </w:r>
      <w:r>
        <w:rPr>
          <w:rFonts w:hint="default" w:ascii="文星仿宋" w:hAnsi="文星仿宋" w:eastAsia="文星仿宋"/>
          <w:sz w:val="32"/>
          <w:szCs w:val="32"/>
          <w:lang w:val="en-US" w:eastAsia="zh-CN"/>
        </w:rPr>
        <w:t>根据《中华人民共和国行政许可法》</w:t>
      </w:r>
      <w:r>
        <w:rPr>
          <w:rFonts w:hint="eastAsia" w:ascii="文星仿宋" w:hAnsi="文星仿宋" w:eastAsia="文星仿宋"/>
          <w:sz w:val="32"/>
          <w:szCs w:val="32"/>
          <w:lang w:val="en-US" w:eastAsia="zh-CN"/>
        </w:rPr>
        <w:t>第七十条、</w:t>
      </w:r>
      <w:r>
        <w:rPr>
          <w:rFonts w:hint="default" w:ascii="文星仿宋" w:hAnsi="文星仿宋" w:eastAsia="文星仿宋"/>
          <w:sz w:val="32"/>
          <w:szCs w:val="32"/>
          <w:lang w:val="en-US" w:eastAsia="zh-CN"/>
        </w:rPr>
        <w:t>《</w:t>
      </w:r>
      <w:r>
        <w:rPr>
          <w:rFonts w:hint="eastAsia" w:ascii="文星仿宋" w:hAnsi="文星仿宋" w:eastAsia="文星仿宋"/>
          <w:sz w:val="32"/>
          <w:szCs w:val="32"/>
          <w:lang w:val="en-US" w:eastAsia="zh-CN"/>
        </w:rPr>
        <w:t>医疗器械经营监督管理办法</w:t>
      </w:r>
      <w:r>
        <w:rPr>
          <w:rFonts w:hint="default" w:ascii="文星仿宋" w:hAnsi="文星仿宋" w:eastAsia="文星仿宋"/>
          <w:sz w:val="32"/>
          <w:szCs w:val="32"/>
          <w:lang w:val="en-US" w:eastAsia="zh-CN"/>
        </w:rPr>
        <w:t>》第二十条的规定</w:t>
      </w:r>
      <w:r>
        <w:rPr>
          <w:rFonts w:hint="eastAsia" w:ascii="文星仿宋" w:hAnsi="文星仿宋" w:eastAsia="文星仿宋"/>
          <w:sz w:val="32"/>
          <w:szCs w:val="32"/>
          <w:lang w:val="en-US" w:eastAsia="zh-CN"/>
        </w:rPr>
        <w:t>，三门峡市市场监督管理局决定注销河南宜致大药房有限公司义马兴苑店《医疗器械经营许可证》（许可证编号为豫三食药监械经营许20210118号）（内容见附表），现予公示。</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left"/>
        <w:textAlignment w:val="auto"/>
        <w:outlineLvl w:val="9"/>
        <w:rPr>
          <w:rFonts w:hint="eastAsia" w:ascii="文星仿宋" w:hAnsi="文星仿宋" w:eastAsia="文星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left"/>
        <w:textAlignment w:val="auto"/>
        <w:outlineLvl w:val="9"/>
        <w:rPr>
          <w:rFonts w:hint="eastAsia" w:ascii="文星仿宋" w:hAnsi="文星仿宋" w:eastAsia="文星仿宋"/>
          <w:sz w:val="32"/>
          <w:szCs w:val="32"/>
          <w:lang w:val="en-US" w:eastAsia="zh-CN"/>
        </w:rPr>
      </w:pPr>
      <w:r>
        <w:rPr>
          <w:rFonts w:hint="eastAsia" w:ascii="文星仿宋" w:hAnsi="文星仿宋" w:eastAsia="文星仿宋"/>
          <w:sz w:val="32"/>
          <w:szCs w:val="32"/>
        </w:rPr>
        <w:t xml:space="preserve">   </w:t>
      </w:r>
      <w:r>
        <w:rPr>
          <w:rFonts w:hint="eastAsia" w:ascii="文星仿宋" w:hAnsi="文星仿宋" w:eastAsia="文星仿宋"/>
          <w:sz w:val="32"/>
          <w:szCs w:val="32"/>
          <w:lang w:val="en-US" w:eastAsia="zh-CN"/>
        </w:rPr>
        <w:t xml:space="preserve">                                                            2022年11月16日</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eastAsia" w:ascii="文星仿宋" w:hAnsi="文星仿宋" w:eastAsia="文星仿宋" w:cs="文星仿宋"/>
          <w:i w:val="0"/>
          <w:color w:val="000000"/>
          <w:kern w:val="0"/>
          <w:sz w:val="21"/>
          <w:szCs w:val="21"/>
          <w:u w:val="none"/>
          <w:lang w:val="en-US" w:eastAsia="zh-CN" w:bidi="ar"/>
        </w:rPr>
      </w:pPr>
      <w:r>
        <w:rPr>
          <w:rFonts w:hint="eastAsia" w:ascii="文星仿宋" w:hAnsi="文星仿宋" w:eastAsia="文星仿宋" w:cs="文星仿宋"/>
          <w:i w:val="0"/>
          <w:color w:val="000000"/>
          <w:kern w:val="0"/>
          <w:sz w:val="21"/>
          <w:szCs w:val="21"/>
          <w:u w:val="none"/>
          <w:lang w:val="en-US" w:eastAsia="zh-CN" w:bidi="ar"/>
        </w:rPr>
        <w:t>附表：</w:t>
      </w:r>
    </w:p>
    <w:tbl>
      <w:tblPr>
        <w:tblStyle w:val="6"/>
        <w:tblW w:w="14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938"/>
        <w:gridCol w:w="830"/>
        <w:gridCol w:w="829"/>
        <w:gridCol w:w="636"/>
        <w:gridCol w:w="785"/>
        <w:gridCol w:w="1168"/>
        <w:gridCol w:w="932"/>
        <w:gridCol w:w="4800"/>
        <w:gridCol w:w="1361"/>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rPr>
                <w:rFonts w:hint="eastAsia" w:ascii="文星仿宋" w:hAnsi="文星仿宋" w:eastAsia="文星仿宋" w:cs="文星仿宋"/>
                <w:i w:val="0"/>
                <w:color w:val="000000"/>
                <w:kern w:val="0"/>
                <w:sz w:val="18"/>
                <w:szCs w:val="18"/>
                <w:u w:val="none"/>
                <w:lang w:val="en-US" w:eastAsia="zh-CN" w:bidi="ar"/>
              </w:rPr>
            </w:pPr>
            <w:r>
              <w:rPr>
                <w:rFonts w:hint="eastAsia" w:ascii="文星仿宋" w:hAnsi="文星仿宋" w:eastAsia="文星仿宋" w:cs="文星仿宋"/>
                <w:i w:val="0"/>
                <w:color w:val="000000"/>
                <w:kern w:val="0"/>
                <w:sz w:val="18"/>
                <w:szCs w:val="18"/>
                <w:u w:val="none"/>
                <w:lang w:val="en-US" w:eastAsia="zh-CN" w:bidi="ar"/>
              </w:rPr>
              <w:t>序号</w:t>
            </w:r>
          </w:p>
        </w:tc>
        <w:tc>
          <w:tcPr>
            <w:tcW w:w="938" w:type="dxa"/>
          </w:tcPr>
          <w:p>
            <w:pPr>
              <w:rPr>
                <w:rFonts w:hint="eastAsia" w:ascii="文星仿宋" w:hAnsi="文星仿宋" w:eastAsia="文星仿宋" w:cs="文星仿宋"/>
                <w:sz w:val="18"/>
                <w:szCs w:val="18"/>
                <w:vertAlign w:val="baseline"/>
                <w:lang w:eastAsia="zh-CN"/>
              </w:rPr>
            </w:pPr>
            <w:r>
              <w:rPr>
                <w:rFonts w:hint="eastAsia" w:ascii="文星仿宋" w:hAnsi="文星仿宋" w:eastAsia="文星仿宋" w:cs="文星仿宋"/>
                <w:i w:val="0"/>
                <w:color w:val="000000"/>
                <w:kern w:val="0"/>
                <w:sz w:val="18"/>
                <w:szCs w:val="18"/>
                <w:u w:val="none"/>
                <w:lang w:val="en-US" w:eastAsia="zh-CN" w:bidi="ar"/>
              </w:rPr>
              <w:t>企业名称</w:t>
            </w:r>
          </w:p>
        </w:tc>
        <w:tc>
          <w:tcPr>
            <w:tcW w:w="830" w:type="dxa"/>
            <w:vAlign w:val="top"/>
          </w:tcPr>
          <w:p>
            <w:pPr>
              <w:keepNext w:val="0"/>
              <w:keepLines w:val="0"/>
              <w:widowControl/>
              <w:suppressLineNumbers w:val="0"/>
              <w:jc w:val="both"/>
              <w:textAlignment w:val="top"/>
              <w:rPr>
                <w:rFonts w:hint="eastAsia" w:ascii="文星仿宋" w:hAnsi="文星仿宋" w:eastAsia="文星仿宋" w:cs="文星仿宋"/>
                <w:sz w:val="18"/>
                <w:szCs w:val="18"/>
                <w:vertAlign w:val="baseline"/>
                <w:lang w:eastAsia="zh-CN"/>
              </w:rPr>
            </w:pPr>
            <w:r>
              <w:rPr>
                <w:rFonts w:hint="eastAsia" w:ascii="文星仿宋" w:hAnsi="文星仿宋" w:eastAsia="文星仿宋" w:cs="文星仿宋"/>
                <w:i w:val="0"/>
                <w:color w:val="000000"/>
                <w:kern w:val="0"/>
                <w:sz w:val="18"/>
                <w:szCs w:val="18"/>
                <w:u w:val="none"/>
                <w:lang w:val="en-US" w:eastAsia="zh-CN" w:bidi="ar"/>
              </w:rPr>
              <w:t>法定代表人</w:t>
            </w:r>
          </w:p>
        </w:tc>
        <w:tc>
          <w:tcPr>
            <w:tcW w:w="829" w:type="dxa"/>
            <w:vAlign w:val="top"/>
          </w:tcPr>
          <w:p>
            <w:pPr>
              <w:keepNext w:val="0"/>
              <w:keepLines w:val="0"/>
              <w:widowControl/>
              <w:suppressLineNumbers w:val="0"/>
              <w:jc w:val="both"/>
              <w:textAlignment w:val="top"/>
              <w:rPr>
                <w:rFonts w:hint="eastAsia" w:ascii="文星仿宋" w:hAnsi="文星仿宋" w:eastAsia="文星仿宋" w:cs="文星仿宋"/>
                <w:sz w:val="18"/>
                <w:szCs w:val="18"/>
                <w:vertAlign w:val="baseline"/>
                <w:lang w:eastAsia="zh-CN"/>
              </w:rPr>
            </w:pPr>
            <w:r>
              <w:rPr>
                <w:rFonts w:hint="eastAsia" w:ascii="文星仿宋" w:hAnsi="文星仿宋" w:eastAsia="文星仿宋" w:cs="文星仿宋"/>
                <w:i w:val="0"/>
                <w:color w:val="000000"/>
                <w:kern w:val="0"/>
                <w:sz w:val="18"/>
                <w:szCs w:val="18"/>
                <w:u w:val="none"/>
                <w:lang w:val="en-US" w:eastAsia="zh-CN" w:bidi="ar"/>
              </w:rPr>
              <w:t>企业负责人</w:t>
            </w:r>
          </w:p>
        </w:tc>
        <w:tc>
          <w:tcPr>
            <w:tcW w:w="636" w:type="dxa"/>
            <w:vAlign w:val="top"/>
          </w:tcPr>
          <w:p>
            <w:pPr>
              <w:keepNext w:val="0"/>
              <w:keepLines w:val="0"/>
              <w:widowControl/>
              <w:suppressLineNumbers w:val="0"/>
              <w:jc w:val="both"/>
              <w:textAlignment w:val="top"/>
              <w:rPr>
                <w:rFonts w:hint="eastAsia" w:ascii="文星仿宋" w:hAnsi="文星仿宋" w:eastAsia="文星仿宋" w:cs="文星仿宋"/>
                <w:sz w:val="18"/>
                <w:szCs w:val="18"/>
                <w:vertAlign w:val="baseline"/>
                <w:lang w:eastAsia="zh-CN"/>
              </w:rPr>
            </w:pPr>
            <w:r>
              <w:rPr>
                <w:rFonts w:hint="eastAsia" w:ascii="文星仿宋" w:hAnsi="文星仿宋" w:eastAsia="文星仿宋" w:cs="文星仿宋"/>
                <w:sz w:val="18"/>
                <w:szCs w:val="18"/>
                <w:vertAlign w:val="baseline"/>
                <w:lang w:eastAsia="zh-CN"/>
              </w:rPr>
              <w:t>经营方式</w:t>
            </w:r>
          </w:p>
        </w:tc>
        <w:tc>
          <w:tcPr>
            <w:tcW w:w="785" w:type="dxa"/>
          </w:tcPr>
          <w:p>
            <w:pPr>
              <w:ind w:firstLine="180" w:firstLineChars="100"/>
              <w:rPr>
                <w:rFonts w:hint="eastAsia" w:ascii="文星仿宋" w:hAnsi="文星仿宋" w:eastAsia="文星仿宋" w:cs="文星仿宋"/>
                <w:i w:val="0"/>
                <w:color w:val="000000"/>
                <w:kern w:val="0"/>
                <w:sz w:val="18"/>
                <w:szCs w:val="18"/>
                <w:u w:val="none"/>
                <w:lang w:val="en-US" w:eastAsia="zh-CN" w:bidi="ar"/>
              </w:rPr>
            </w:pPr>
            <w:r>
              <w:rPr>
                <w:rFonts w:hint="eastAsia" w:ascii="文星仿宋" w:hAnsi="文星仿宋" w:eastAsia="文星仿宋" w:cs="文星仿宋"/>
                <w:i w:val="0"/>
                <w:color w:val="000000"/>
                <w:kern w:val="0"/>
                <w:sz w:val="18"/>
                <w:szCs w:val="18"/>
                <w:u w:val="none"/>
                <w:lang w:val="en-US" w:eastAsia="zh-CN" w:bidi="ar"/>
              </w:rPr>
              <w:t>住所</w:t>
            </w:r>
          </w:p>
        </w:tc>
        <w:tc>
          <w:tcPr>
            <w:tcW w:w="1168" w:type="dxa"/>
          </w:tcPr>
          <w:p>
            <w:pPr>
              <w:rPr>
                <w:rFonts w:hint="eastAsia" w:ascii="文星仿宋" w:hAnsi="文星仿宋" w:eastAsia="文星仿宋" w:cs="文星仿宋"/>
                <w:sz w:val="18"/>
                <w:szCs w:val="18"/>
                <w:vertAlign w:val="baseline"/>
                <w:lang w:eastAsia="zh-CN"/>
              </w:rPr>
            </w:pPr>
            <w:r>
              <w:rPr>
                <w:rFonts w:hint="eastAsia" w:ascii="文星仿宋" w:hAnsi="文星仿宋" w:eastAsia="文星仿宋" w:cs="文星仿宋"/>
                <w:i w:val="0"/>
                <w:color w:val="000000"/>
                <w:kern w:val="0"/>
                <w:sz w:val="18"/>
                <w:szCs w:val="18"/>
                <w:u w:val="none"/>
                <w:lang w:val="en-US" w:eastAsia="zh-CN" w:bidi="ar"/>
              </w:rPr>
              <w:t>经营场所</w:t>
            </w:r>
          </w:p>
        </w:tc>
        <w:tc>
          <w:tcPr>
            <w:tcW w:w="932" w:type="dxa"/>
          </w:tcPr>
          <w:p>
            <w:pPr>
              <w:rPr>
                <w:rFonts w:hint="eastAsia" w:ascii="文星仿宋" w:hAnsi="文星仿宋" w:eastAsia="文星仿宋" w:cs="文星仿宋"/>
                <w:sz w:val="18"/>
                <w:szCs w:val="18"/>
                <w:vertAlign w:val="baseline"/>
                <w:lang w:eastAsia="zh-CN"/>
              </w:rPr>
            </w:pPr>
            <w:r>
              <w:rPr>
                <w:rFonts w:hint="eastAsia" w:ascii="文星仿宋" w:hAnsi="文星仿宋" w:eastAsia="文星仿宋" w:cs="文星仿宋"/>
                <w:i w:val="0"/>
                <w:color w:val="000000"/>
                <w:kern w:val="0"/>
                <w:sz w:val="18"/>
                <w:szCs w:val="18"/>
                <w:u w:val="none"/>
                <w:lang w:val="en-US" w:eastAsia="zh-CN" w:bidi="ar"/>
              </w:rPr>
              <w:t>仓库地址</w:t>
            </w:r>
          </w:p>
        </w:tc>
        <w:tc>
          <w:tcPr>
            <w:tcW w:w="4800" w:type="dxa"/>
          </w:tcPr>
          <w:p>
            <w:pPr>
              <w:jc w:val="center"/>
              <w:rPr>
                <w:rFonts w:hint="eastAsia" w:ascii="文星仿宋" w:hAnsi="文星仿宋" w:eastAsia="文星仿宋" w:cs="文星仿宋"/>
                <w:sz w:val="18"/>
                <w:szCs w:val="18"/>
                <w:vertAlign w:val="baseline"/>
                <w:lang w:eastAsia="zh-CN"/>
              </w:rPr>
            </w:pPr>
            <w:r>
              <w:rPr>
                <w:rFonts w:hint="eastAsia" w:ascii="文星仿宋" w:hAnsi="文星仿宋" w:eastAsia="文星仿宋" w:cs="文星仿宋"/>
                <w:i w:val="0"/>
                <w:color w:val="000000"/>
                <w:kern w:val="0"/>
                <w:sz w:val="18"/>
                <w:szCs w:val="18"/>
                <w:u w:val="none"/>
                <w:lang w:val="en-US" w:eastAsia="zh-CN" w:bidi="ar"/>
              </w:rPr>
              <w:t>经营范围</w:t>
            </w:r>
          </w:p>
        </w:tc>
        <w:tc>
          <w:tcPr>
            <w:tcW w:w="1361" w:type="dxa"/>
          </w:tcPr>
          <w:p>
            <w:pPr>
              <w:ind w:firstLine="180" w:firstLineChars="100"/>
              <w:rPr>
                <w:rFonts w:hint="eastAsia" w:ascii="文星仿宋" w:hAnsi="文星仿宋" w:eastAsia="文星仿宋" w:cs="文星仿宋"/>
                <w:sz w:val="18"/>
                <w:szCs w:val="18"/>
                <w:vertAlign w:val="baseline"/>
                <w:lang w:eastAsia="zh-CN"/>
              </w:rPr>
            </w:pPr>
            <w:r>
              <w:rPr>
                <w:rStyle w:val="7"/>
                <w:rFonts w:hint="eastAsia" w:ascii="文星仿宋" w:hAnsi="文星仿宋" w:eastAsia="文星仿宋" w:cs="文星仿宋"/>
                <w:i w:val="0"/>
                <w:color w:val="000000"/>
                <w:sz w:val="18"/>
                <w:szCs w:val="18"/>
                <w:lang w:val="en-US" w:eastAsia="zh-CN" w:bidi="ar"/>
              </w:rPr>
              <w:t>许可证编号</w:t>
            </w:r>
          </w:p>
        </w:tc>
        <w:tc>
          <w:tcPr>
            <w:tcW w:w="1295" w:type="dxa"/>
          </w:tcPr>
          <w:p>
            <w:pPr>
              <w:ind w:firstLine="180" w:firstLineChars="100"/>
              <w:rPr>
                <w:rStyle w:val="7"/>
                <w:rFonts w:hint="eastAsia" w:ascii="文星仿宋" w:hAnsi="文星仿宋" w:eastAsia="文星仿宋" w:cs="文星仿宋"/>
                <w:i w:val="0"/>
                <w:color w:val="000000"/>
                <w:sz w:val="18"/>
                <w:szCs w:val="18"/>
                <w:lang w:val="en-US" w:eastAsia="zh-CN" w:bidi="ar"/>
              </w:rPr>
            </w:pPr>
            <w:r>
              <w:rPr>
                <w:rStyle w:val="7"/>
                <w:rFonts w:hint="eastAsia" w:ascii="文星仿宋" w:hAnsi="文星仿宋" w:eastAsia="文星仿宋" w:cs="文星仿宋"/>
                <w:i w:val="0"/>
                <w:color w:val="000000"/>
                <w:sz w:val="18"/>
                <w:szCs w:val="18"/>
                <w:lang w:val="en-US" w:eastAsia="zh-CN" w:bidi="ar"/>
              </w:rPr>
              <w:t>注销日期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9" w:hRule="atLeast"/>
        </w:trPr>
        <w:tc>
          <w:tcPr>
            <w:tcW w:w="570" w:type="dxa"/>
            <w:vAlign w:val="center"/>
          </w:tcPr>
          <w:p>
            <w:pPr>
              <w:jc w:val="center"/>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1</w:t>
            </w:r>
          </w:p>
        </w:tc>
        <w:tc>
          <w:tcPr>
            <w:tcW w:w="938" w:type="dxa"/>
            <w:vAlign w:val="center"/>
          </w:tcPr>
          <w:p>
            <w:pPr>
              <w:jc w:val="both"/>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河南宜致大药房有限公司义马兴苑店</w:t>
            </w:r>
          </w:p>
        </w:tc>
        <w:tc>
          <w:tcPr>
            <w:tcW w:w="830" w:type="dxa"/>
            <w:vAlign w:val="center"/>
          </w:tcPr>
          <w:p>
            <w:pPr>
              <w:jc w:val="both"/>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w:t>
            </w:r>
          </w:p>
        </w:tc>
        <w:tc>
          <w:tcPr>
            <w:tcW w:w="829" w:type="dxa"/>
            <w:vAlign w:val="center"/>
          </w:tcPr>
          <w:p>
            <w:pPr>
              <w:jc w:val="both"/>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南晓晓</w:t>
            </w:r>
          </w:p>
        </w:tc>
        <w:tc>
          <w:tcPr>
            <w:tcW w:w="636" w:type="dxa"/>
            <w:vAlign w:val="center"/>
          </w:tcPr>
          <w:p>
            <w:pPr>
              <w:jc w:val="both"/>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零售</w:t>
            </w:r>
          </w:p>
        </w:tc>
        <w:tc>
          <w:tcPr>
            <w:tcW w:w="785" w:type="dxa"/>
            <w:vAlign w:val="center"/>
          </w:tcPr>
          <w:p>
            <w:pPr>
              <w:jc w:val="both"/>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w:t>
            </w:r>
          </w:p>
        </w:tc>
        <w:tc>
          <w:tcPr>
            <w:tcW w:w="1168" w:type="dxa"/>
            <w:vAlign w:val="center"/>
          </w:tcPr>
          <w:p>
            <w:pPr>
              <w:jc w:val="both"/>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河南省三门峡市义马市千秋路街道千秋路东段南侧祥和花园2号楼3号</w:t>
            </w:r>
          </w:p>
        </w:tc>
        <w:tc>
          <w:tcPr>
            <w:tcW w:w="932" w:type="dxa"/>
            <w:vAlign w:val="center"/>
          </w:tcPr>
          <w:p>
            <w:pPr>
              <w:jc w:val="both"/>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w:t>
            </w:r>
          </w:p>
        </w:tc>
        <w:tc>
          <w:tcPr>
            <w:tcW w:w="4800" w:type="dxa"/>
            <w:vAlign w:val="center"/>
          </w:tcPr>
          <w:p>
            <w:pPr>
              <w:jc w:val="both"/>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第三类：6815注射穿刺器械，6825医用高频仪器设备，6854手术室、急救室、诊疗室设备及器具，6865医用缝合材料及粘合剂，6866医用高分子材料及制品；第三类：01有源手术器械，02无源手术器械，08呼吸、麻醉和急救器械，09物理治疗器械，10输血、透析和体外循环器械，14注输、护理和防护器械，18妇产科、辅助生殖和避孕器械，22临床检验器械</w:t>
            </w:r>
          </w:p>
        </w:tc>
        <w:tc>
          <w:tcPr>
            <w:tcW w:w="1361" w:type="dxa"/>
            <w:vAlign w:val="center"/>
          </w:tcPr>
          <w:p>
            <w:pPr>
              <w:jc w:val="both"/>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豫三食药监械经营许</w:t>
            </w:r>
            <w:r>
              <w:rPr>
                <w:rFonts w:hint="eastAsia" w:ascii="文星仿宋" w:hAnsi="文星仿宋" w:eastAsia="文星仿宋" w:cs="文星仿宋"/>
                <w:sz w:val="18"/>
                <w:szCs w:val="18"/>
                <w:vertAlign w:val="baseline"/>
                <w:lang w:val="en-US" w:eastAsia="zh-CN"/>
              </w:rPr>
              <w:t>20210118号</w:t>
            </w:r>
          </w:p>
        </w:tc>
        <w:tc>
          <w:tcPr>
            <w:tcW w:w="1295" w:type="dxa"/>
            <w:vAlign w:val="center"/>
          </w:tcPr>
          <w:p>
            <w:pPr>
              <w:jc w:val="both"/>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2022年11月16日</w:t>
            </w:r>
          </w:p>
        </w:tc>
      </w:tr>
    </w:tbl>
    <w:p>
      <w:pPr>
        <w:keepNext w:val="0"/>
        <w:keepLines w:val="0"/>
        <w:pageBreakBefore w:val="0"/>
        <w:widowControl w:val="0"/>
        <w:kinsoku/>
        <w:wordWrap/>
        <w:overflowPunct/>
        <w:topLinePunct w:val="0"/>
        <w:autoSpaceDE/>
        <w:autoSpaceDN/>
        <w:bidi w:val="0"/>
        <w:adjustRightInd/>
        <w:snapToGrid/>
        <w:spacing w:line="480" w:lineRule="exact"/>
        <w:ind w:right="0" w:rightChars="0"/>
        <w:jc w:val="left"/>
        <w:textAlignment w:val="auto"/>
        <w:outlineLvl w:val="9"/>
        <w:rPr>
          <w:rFonts w:hint="eastAsia" w:ascii="文星仿宋" w:hAnsi="文星仿宋" w:eastAsia="文星仿宋"/>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left"/>
        <w:textAlignment w:val="auto"/>
        <w:outlineLvl w:val="9"/>
        <w:rPr>
          <w:rFonts w:hint="eastAsia" w:ascii="文星仿宋" w:hAnsi="文星仿宋" w:eastAsia="文星仿宋"/>
          <w:sz w:val="32"/>
          <w:szCs w:val="32"/>
          <w:lang w:val="en-US" w:eastAsia="zh-CN"/>
        </w:rPr>
      </w:pPr>
    </w:p>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panose1 w:val="02010604000101010101"/>
    <w:charset w:val="86"/>
    <w:family w:val="auto"/>
    <w:pitch w:val="default"/>
    <w:sig w:usb0="00000001" w:usb1="080E0000" w:usb2="00000000" w:usb3="00000000" w:csb0="00040001" w:csb1="00000000"/>
  </w:font>
  <w:font w:name="Hiragino Sans GB">
    <w:altName w:val="Segoe Print"/>
    <w:panose1 w:val="00000000000000000000"/>
    <w:charset w:val="00"/>
    <w:family w:val="auto"/>
    <w:pitch w:val="default"/>
    <w:sig w:usb0="00000000" w:usb1="00000000" w:usb2="00000000" w:usb3="00000000" w:csb0="00000000" w:csb1="00000000"/>
  </w:font>
  <w:font w:name="文星仿宋">
    <w:panose1 w:val="0201060900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6669E3"/>
    <w:rsid w:val="13A05002"/>
    <w:rsid w:val="15686FF6"/>
    <w:rsid w:val="15741C21"/>
    <w:rsid w:val="1AD97B3D"/>
    <w:rsid w:val="1DD65C73"/>
    <w:rsid w:val="2D6B5D33"/>
    <w:rsid w:val="33C05FC5"/>
    <w:rsid w:val="3AE075DE"/>
    <w:rsid w:val="426F4A41"/>
    <w:rsid w:val="461B4B66"/>
    <w:rsid w:val="4A5067BE"/>
    <w:rsid w:val="52F54C6C"/>
    <w:rsid w:val="60A7445C"/>
    <w:rsid w:val="68845EBA"/>
    <w:rsid w:val="72970F69"/>
    <w:rsid w:val="7BFA0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qFormat/>
    <w:uiPriority w:val="0"/>
    <w:rPr>
      <w:color w:val="800080"/>
      <w:u w:val="single"/>
    </w:rPr>
  </w:style>
  <w:style w:type="character" w:styleId="4">
    <w:name w:val="Hyperlink"/>
    <w:basedOn w:val="2"/>
    <w:qFormat/>
    <w:uiPriority w:val="0"/>
    <w:rPr>
      <w:color w:val="0000FF"/>
      <w:u w:val="single"/>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font31"/>
    <w:basedOn w:val="2"/>
    <w:qFormat/>
    <w:uiPriority w:val="0"/>
    <w:rPr>
      <w:rFonts w:hint="eastAsia" w:ascii="宋体" w:hAnsi="宋体" w:eastAsia="宋体" w:cs="宋体"/>
      <w:color w:val="000000"/>
      <w:sz w:val="18"/>
      <w:szCs w:val="18"/>
      <w:u w:val="none"/>
    </w:rPr>
  </w:style>
  <w:style w:type="character" w:customStyle="1" w:styleId="8">
    <w:name w:val="font11"/>
    <w:basedOn w:val="2"/>
    <w:qFormat/>
    <w:uiPriority w:val="0"/>
    <w:rPr>
      <w:rFonts w:ascii="Calibri" w:hAnsi="Calibri" w:cs="Calibri"/>
      <w:color w:val="000000"/>
      <w:sz w:val="18"/>
      <w:szCs w:val="18"/>
      <w:u w:val="none"/>
    </w:rPr>
  </w:style>
  <w:style w:type="character" w:customStyle="1" w:styleId="9">
    <w:name w:val="l-btn-icon-right"/>
    <w:basedOn w:val="2"/>
    <w:qFormat/>
    <w:uiPriority w:val="0"/>
  </w:style>
  <w:style w:type="character" w:customStyle="1" w:styleId="10">
    <w:name w:val="l-btn-text"/>
    <w:basedOn w:val="2"/>
    <w:qFormat/>
    <w:uiPriority w:val="0"/>
    <w:rPr>
      <w:vertAlign w:val="baseline"/>
    </w:rPr>
  </w:style>
  <w:style w:type="character" w:customStyle="1" w:styleId="11">
    <w:name w:val="l-btn-left"/>
    <w:basedOn w:val="2"/>
    <w:qFormat/>
    <w:uiPriority w:val="0"/>
  </w:style>
  <w:style w:type="character" w:customStyle="1" w:styleId="12">
    <w:name w:val="l-btn-left1"/>
    <w:basedOn w:val="2"/>
    <w:qFormat/>
    <w:uiPriority w:val="0"/>
  </w:style>
  <w:style w:type="character" w:customStyle="1" w:styleId="13">
    <w:name w:val="l-btn-left2"/>
    <w:basedOn w:val="2"/>
    <w:qFormat/>
    <w:uiPriority w:val="0"/>
  </w:style>
  <w:style w:type="character" w:customStyle="1" w:styleId="14">
    <w:name w:val="l-btn-left3"/>
    <w:basedOn w:val="2"/>
    <w:qFormat/>
    <w:uiPriority w:val="0"/>
  </w:style>
  <w:style w:type="character" w:customStyle="1" w:styleId="15">
    <w:name w:val="layui-layer-tabnow"/>
    <w:basedOn w:val="2"/>
    <w:qFormat/>
    <w:uiPriority w:val="0"/>
    <w:rPr>
      <w:bdr w:val="single" w:color="CCCCCC" w:sz="6" w:space="0"/>
      <w:shd w:val="clear" w:fill="FFFFFF"/>
    </w:rPr>
  </w:style>
  <w:style w:type="character" w:customStyle="1" w:styleId="16">
    <w:name w:val="l-btn-icon-left"/>
    <w:basedOn w:val="2"/>
    <w:qFormat/>
    <w:uiPriority w:val="0"/>
  </w:style>
  <w:style w:type="character" w:customStyle="1" w:styleId="17">
    <w:name w:val="l-btn-empty"/>
    <w:basedOn w:val="2"/>
    <w:qFormat/>
    <w:uiPriority w:val="0"/>
  </w:style>
  <w:style w:type="character" w:customStyle="1" w:styleId="18">
    <w:name w:val="first-child"/>
    <w:basedOn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lenovo097</dc:creator>
  <cp:lastModifiedBy>深情树</cp:lastModifiedBy>
  <cp:lastPrinted>2022-10-09T03:23:00Z</cp:lastPrinted>
  <dcterms:modified xsi:type="dcterms:W3CDTF">2022-11-16T03:04:48Z</dcterms:modified>
  <dc:title>三门峡市市场监督管理局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