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6" w:rsidRDefault="008C1EC8">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车用乙醇汽油产品质量</w:t>
      </w:r>
      <w:bookmarkStart w:id="0" w:name="_GoBack"/>
      <w:bookmarkEnd w:id="0"/>
      <w:r w:rsidR="00EF36A5">
        <w:rPr>
          <w:rFonts w:ascii="方正小标宋简体" w:eastAsia="方正小标宋简体" w:hAnsi="方正小标宋简体" w:cs="方正小标宋简体" w:hint="eastAsia"/>
          <w:color w:val="000000"/>
          <w:sz w:val="44"/>
          <w:szCs w:val="44"/>
        </w:rPr>
        <w:t>三门峡市</w:t>
      </w:r>
      <w:r>
        <w:rPr>
          <w:rFonts w:ascii="方正小标宋简体" w:eastAsia="方正小标宋简体" w:hAnsi="方正小标宋简体" w:cs="方正小标宋简体" w:hint="eastAsia"/>
          <w:color w:val="000000"/>
          <w:sz w:val="44"/>
          <w:szCs w:val="44"/>
        </w:rPr>
        <w:t>监督抽查</w:t>
      </w:r>
    </w:p>
    <w:p w:rsidR="006C4526" w:rsidRDefault="008C1EC8">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实施细则</w:t>
      </w:r>
    </w:p>
    <w:p w:rsidR="006C4526" w:rsidRDefault="006C4526" w:rsidP="00FE7D84">
      <w:pPr>
        <w:spacing w:line="560" w:lineRule="exact"/>
        <w:ind w:firstLineChars="200" w:firstLine="627"/>
        <w:rPr>
          <w:rFonts w:ascii="仿宋_GB2312" w:eastAsia="仿宋_GB2312" w:hAnsi="方正仿宋_GBK" w:cs="方正仿宋_GBK"/>
          <w:sz w:val="32"/>
          <w:szCs w:val="32"/>
        </w:rPr>
      </w:pPr>
    </w:p>
    <w:p w:rsidR="006C4526" w:rsidRDefault="008C1EC8" w:rsidP="00FE7D84">
      <w:pPr>
        <w:spacing w:line="560" w:lineRule="exact"/>
        <w:ind w:firstLineChars="200" w:firstLine="627"/>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本细则适用</w:t>
      </w:r>
      <w:r w:rsidR="00EF36A5">
        <w:rPr>
          <w:rFonts w:ascii="仿宋_GB2312" w:eastAsia="仿宋_GB2312" w:hAnsi="方正仿宋_GBK" w:cs="方正仿宋_GBK" w:hint="eastAsia"/>
          <w:sz w:val="32"/>
          <w:szCs w:val="32"/>
        </w:rPr>
        <w:t>于三门峡市</w:t>
      </w:r>
      <w:r>
        <w:rPr>
          <w:rFonts w:ascii="仿宋_GB2312" w:eastAsia="仿宋_GB2312" w:hAnsi="方正仿宋_GBK" w:cs="方正仿宋_GBK" w:hint="eastAsia"/>
          <w:sz w:val="32"/>
          <w:szCs w:val="32"/>
        </w:rPr>
        <w:t>市场监督管理局组织的车用乙醇汽油产品质量</w:t>
      </w:r>
      <w:r w:rsidR="00EF36A5">
        <w:rPr>
          <w:rFonts w:ascii="仿宋_GB2312" w:eastAsia="仿宋_GB2312" w:hAnsi="方正仿宋_GBK" w:cs="方正仿宋_GBK" w:hint="eastAsia"/>
          <w:sz w:val="32"/>
          <w:szCs w:val="32"/>
        </w:rPr>
        <w:t>市</w:t>
      </w:r>
      <w:r>
        <w:rPr>
          <w:rFonts w:ascii="仿宋_GB2312" w:eastAsia="仿宋_GB2312" w:hAnsi="方正仿宋_GBK" w:cs="方正仿宋_GBK" w:hint="eastAsia"/>
          <w:sz w:val="32"/>
          <w:szCs w:val="32"/>
        </w:rPr>
        <w:t>监督抽查。本细则规定了此产品的抽样方法、检验依据、检验项目、检验方法、判定原则等。</w:t>
      </w:r>
    </w:p>
    <w:p w:rsidR="006C4526" w:rsidRDefault="008C1EC8" w:rsidP="00EF36A5">
      <w:pPr>
        <w:adjustRightInd w:val="0"/>
        <w:snapToGrid w:val="0"/>
        <w:spacing w:beforeLines="50" w:line="560" w:lineRule="exact"/>
        <w:ind w:firstLineChars="200" w:firstLine="627"/>
        <w:rPr>
          <w:rFonts w:ascii="黑体" w:eastAsia="黑体" w:hAnsi="黑体" w:cs="Times New Roman"/>
          <w:color w:val="000000"/>
          <w:sz w:val="32"/>
          <w:szCs w:val="32"/>
        </w:rPr>
      </w:pPr>
      <w:r>
        <w:rPr>
          <w:rFonts w:ascii="黑体" w:eastAsia="黑体" w:hAnsi="黑体" w:cs="Times New Roman"/>
          <w:color w:val="000000"/>
          <w:sz w:val="32"/>
          <w:szCs w:val="32"/>
        </w:rPr>
        <w:t>1</w:t>
      </w:r>
      <w:r>
        <w:rPr>
          <w:rFonts w:ascii="黑体" w:eastAsia="黑体" w:hAnsi="黑体" w:cs="Times New Roman" w:hint="eastAsia"/>
          <w:color w:val="000000"/>
          <w:sz w:val="32"/>
          <w:szCs w:val="32"/>
        </w:rPr>
        <w:t xml:space="preserve"> 抽样方法</w:t>
      </w:r>
    </w:p>
    <w:p w:rsidR="006C4526" w:rsidRDefault="008C1EC8" w:rsidP="00FF3C79">
      <w:pPr>
        <w:adjustRightInd w:val="0"/>
        <w:snapToGrid w:val="0"/>
        <w:spacing w:line="560" w:lineRule="exact"/>
        <w:ind w:leftChars="200" w:left="407"/>
        <w:rPr>
          <w:rFonts w:ascii="Times New Roman" w:eastAsia="仿宋_GB2312" w:hAnsi="Times New Roman" w:cs="Times New Roman"/>
          <w:color w:val="000000"/>
          <w:spacing w:val="-6"/>
          <w:sz w:val="32"/>
          <w:szCs w:val="32"/>
        </w:rPr>
      </w:pPr>
      <w:r>
        <w:rPr>
          <w:rFonts w:ascii="仿宋_GB2312" w:eastAsia="仿宋_GB2312" w:hAnsi="Times New Roman" w:cs="Times New Roman" w:hint="eastAsia"/>
          <w:color w:val="000000"/>
          <w:sz w:val="32"/>
          <w:szCs w:val="32"/>
        </w:rPr>
        <w:t>以随机抽样方式在被抽样生产者、销售者的待销产品中抽取。</w:t>
      </w:r>
      <w:r>
        <w:rPr>
          <w:rFonts w:ascii="Times New Roman" w:eastAsia="仿宋_GB2312" w:hAnsi="Times New Roman" w:cs="Times New Roman"/>
          <w:color w:val="000000"/>
          <w:sz w:val="32"/>
          <w:szCs w:val="32"/>
        </w:rPr>
        <w:t>随</w:t>
      </w:r>
      <w:r>
        <w:rPr>
          <w:rFonts w:ascii="Times New Roman" w:eastAsia="仿宋_GB2312" w:hAnsi="Times New Roman" w:cs="Times New Roman"/>
          <w:color w:val="000000"/>
          <w:spacing w:val="-6"/>
          <w:sz w:val="32"/>
          <w:szCs w:val="32"/>
        </w:rPr>
        <w:t>机数一般可使用随机数表、随机数骰子或扑克牌等方法产生。</w:t>
      </w:r>
    </w:p>
    <w:p w:rsidR="006C4526" w:rsidRDefault="008C1EC8" w:rsidP="00EF36A5">
      <w:pPr>
        <w:adjustRightInd w:val="0"/>
        <w:snapToGrid w:val="0"/>
        <w:spacing w:afterLines="50" w:line="560" w:lineRule="exact"/>
        <w:ind w:firstLineChars="200" w:firstLine="627"/>
        <w:jc w:val="center"/>
        <w:rPr>
          <w:rFonts w:ascii="仿宋_GB2312" w:eastAsia="仿宋_GB2312" w:hAnsi="Times New Roman" w:cs="Times New Roman"/>
          <w:b/>
          <w:color w:val="000000" w:themeColor="text1"/>
          <w:sz w:val="32"/>
          <w:szCs w:val="32"/>
        </w:rPr>
      </w:pPr>
      <w:r>
        <w:rPr>
          <w:rFonts w:ascii="仿宋_GB2312" w:eastAsia="仿宋_GB2312" w:hAnsi="Times New Roman" w:cs="黑体" w:hint="eastAsia"/>
          <w:b/>
          <w:sz w:val="32"/>
          <w:szCs w:val="32"/>
        </w:rPr>
        <w:t>表1抽取样品数量</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072"/>
        <w:gridCol w:w="2268"/>
        <w:gridCol w:w="1701"/>
        <w:gridCol w:w="1751"/>
      </w:tblGrid>
      <w:tr w:rsidR="006C4526">
        <w:trPr>
          <w:cantSplit/>
          <w:jc w:val="center"/>
        </w:trPr>
        <w:tc>
          <w:tcPr>
            <w:tcW w:w="992"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序号</w:t>
            </w:r>
          </w:p>
        </w:tc>
        <w:tc>
          <w:tcPr>
            <w:tcW w:w="2072"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产品种类</w:t>
            </w:r>
          </w:p>
        </w:tc>
        <w:tc>
          <w:tcPr>
            <w:tcW w:w="2268"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抽样数量</w:t>
            </w:r>
            <w:r>
              <w:rPr>
                <w:rFonts w:ascii="仿宋_GB2312" w:eastAsia="仿宋_GB2312" w:hAnsi="Times New Roman" w:hint="eastAsia"/>
                <w:color w:val="000000"/>
                <w:sz w:val="24"/>
                <w:szCs w:val="32"/>
              </w:rPr>
              <w:t>（L）</w:t>
            </w:r>
          </w:p>
        </w:tc>
        <w:tc>
          <w:tcPr>
            <w:tcW w:w="1701"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检验样品数量（</w:t>
            </w:r>
            <w:r>
              <w:rPr>
                <w:rFonts w:ascii="仿宋_GB2312" w:eastAsia="仿宋_GB2312" w:hAnsi="Times New Roman" w:hint="eastAsia"/>
                <w:color w:val="000000"/>
                <w:sz w:val="24"/>
                <w:szCs w:val="32"/>
              </w:rPr>
              <w:t>L</w:t>
            </w:r>
            <w:r>
              <w:rPr>
                <w:rFonts w:ascii="仿宋_GB2312" w:eastAsia="仿宋_GB2312" w:hAnsi="Times New Roman" w:cs="Times New Roman" w:hint="eastAsia"/>
                <w:color w:val="000000"/>
                <w:sz w:val="24"/>
                <w:szCs w:val="32"/>
              </w:rPr>
              <w:t>）</w:t>
            </w:r>
          </w:p>
        </w:tc>
        <w:tc>
          <w:tcPr>
            <w:tcW w:w="1751"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备用样品数量（</w:t>
            </w:r>
            <w:r>
              <w:rPr>
                <w:rFonts w:ascii="仿宋_GB2312" w:eastAsia="仿宋_GB2312" w:hAnsi="Times New Roman" w:hint="eastAsia"/>
                <w:color w:val="000000"/>
                <w:sz w:val="24"/>
                <w:szCs w:val="32"/>
              </w:rPr>
              <w:t>L</w:t>
            </w:r>
            <w:r>
              <w:rPr>
                <w:rFonts w:ascii="仿宋_GB2312" w:eastAsia="仿宋_GB2312" w:hAnsi="Times New Roman" w:cs="Times New Roman" w:hint="eastAsia"/>
                <w:color w:val="000000"/>
                <w:sz w:val="24"/>
                <w:szCs w:val="32"/>
              </w:rPr>
              <w:t>）</w:t>
            </w:r>
          </w:p>
        </w:tc>
      </w:tr>
      <w:tr w:rsidR="006C4526">
        <w:trPr>
          <w:cantSplit/>
          <w:jc w:val="center"/>
        </w:trPr>
        <w:tc>
          <w:tcPr>
            <w:tcW w:w="992" w:type="dxa"/>
            <w:vAlign w:val="center"/>
          </w:tcPr>
          <w:p w:rsidR="006C4526" w:rsidRDefault="008C1EC8">
            <w:pPr>
              <w:adjustRightInd w:val="0"/>
              <w:jc w:val="center"/>
              <w:rPr>
                <w:rFonts w:ascii="仿宋_GB2312" w:eastAsia="仿宋_GB2312" w:hAnsi="Times New Roman" w:cs="Times New Roman"/>
                <w:color w:val="000000"/>
                <w:sz w:val="24"/>
                <w:szCs w:val="32"/>
              </w:rPr>
            </w:pPr>
            <w:r>
              <w:rPr>
                <w:rFonts w:ascii="仿宋_GB2312" w:eastAsia="仿宋_GB2312" w:hAnsi="Times New Roman" w:cs="Times New Roman" w:hint="eastAsia"/>
                <w:color w:val="000000"/>
                <w:sz w:val="24"/>
                <w:szCs w:val="32"/>
              </w:rPr>
              <w:t>1</w:t>
            </w:r>
          </w:p>
        </w:tc>
        <w:tc>
          <w:tcPr>
            <w:tcW w:w="2072" w:type="dxa"/>
            <w:vAlign w:val="center"/>
          </w:tcPr>
          <w:p w:rsidR="006C4526" w:rsidRDefault="008C1EC8">
            <w:pPr>
              <w:adjustRightInd w:val="0"/>
              <w:jc w:val="center"/>
              <w:rPr>
                <w:rFonts w:ascii="仿宋_GB2312" w:eastAsia="仿宋_GB2312" w:hAnsi="Times New Roman" w:cs="Times New Roman"/>
                <w:color w:val="000000"/>
                <w:kern w:val="0"/>
                <w:sz w:val="24"/>
                <w:szCs w:val="32"/>
              </w:rPr>
            </w:pPr>
            <w:r>
              <w:rPr>
                <w:rFonts w:ascii="仿宋_GB2312" w:eastAsia="仿宋_GB2312" w:hAnsi="Times New Roman" w:hint="eastAsia"/>
                <w:color w:val="000000"/>
                <w:sz w:val="24"/>
                <w:szCs w:val="32"/>
              </w:rPr>
              <w:t>车用乙醇汽油</w:t>
            </w:r>
          </w:p>
        </w:tc>
        <w:tc>
          <w:tcPr>
            <w:tcW w:w="2268" w:type="dxa"/>
            <w:vAlign w:val="center"/>
          </w:tcPr>
          <w:p w:rsidR="006C4526" w:rsidRDefault="00EF36A5">
            <w:pPr>
              <w:jc w:val="center"/>
              <w:rPr>
                <w:rFonts w:ascii="仿宋_GB2312" w:eastAsia="仿宋_GB2312" w:hAnsi="Times New Roman" w:cs="Times New Roman"/>
                <w:color w:val="000000"/>
                <w:kern w:val="0"/>
                <w:sz w:val="24"/>
                <w:szCs w:val="32"/>
              </w:rPr>
            </w:pPr>
            <w:r>
              <w:rPr>
                <w:rFonts w:ascii="仿宋_GB2312" w:eastAsia="仿宋_GB2312" w:hAnsi="Times New Roman" w:cs="Times New Roman" w:hint="eastAsia"/>
                <w:color w:val="000000"/>
                <w:kern w:val="0"/>
                <w:sz w:val="24"/>
                <w:szCs w:val="32"/>
              </w:rPr>
              <w:t>3</w:t>
            </w:r>
          </w:p>
        </w:tc>
        <w:tc>
          <w:tcPr>
            <w:tcW w:w="1701" w:type="dxa"/>
            <w:vAlign w:val="center"/>
          </w:tcPr>
          <w:p w:rsidR="006C4526" w:rsidRDefault="00EF36A5">
            <w:pPr>
              <w:jc w:val="center"/>
              <w:rPr>
                <w:rFonts w:ascii="仿宋_GB2312" w:eastAsia="仿宋_GB2312" w:hAnsi="Times New Roman" w:cs="Times New Roman"/>
                <w:color w:val="000000"/>
                <w:kern w:val="0"/>
                <w:sz w:val="24"/>
                <w:szCs w:val="32"/>
              </w:rPr>
            </w:pPr>
            <w:r>
              <w:rPr>
                <w:rFonts w:ascii="仿宋_GB2312" w:eastAsia="仿宋_GB2312" w:hAnsi="Times New Roman" w:hint="eastAsia"/>
                <w:color w:val="000000"/>
                <w:kern w:val="0"/>
                <w:sz w:val="24"/>
                <w:szCs w:val="32"/>
              </w:rPr>
              <w:t>2</w:t>
            </w:r>
          </w:p>
        </w:tc>
        <w:tc>
          <w:tcPr>
            <w:tcW w:w="1751" w:type="dxa"/>
            <w:vAlign w:val="center"/>
          </w:tcPr>
          <w:p w:rsidR="006C4526" w:rsidRDefault="005E4D78">
            <w:pPr>
              <w:jc w:val="center"/>
              <w:rPr>
                <w:rFonts w:ascii="仿宋_GB2312" w:eastAsia="仿宋_GB2312" w:hAnsi="Times New Roman" w:cs="Times New Roman"/>
                <w:color w:val="000000"/>
                <w:kern w:val="0"/>
                <w:sz w:val="24"/>
                <w:szCs w:val="32"/>
              </w:rPr>
            </w:pPr>
            <w:r>
              <w:rPr>
                <w:rFonts w:ascii="仿宋_GB2312" w:eastAsia="仿宋_GB2312" w:hAnsi="Times New Roman" w:cs="Times New Roman" w:hint="eastAsia"/>
                <w:color w:val="000000"/>
                <w:kern w:val="0"/>
                <w:sz w:val="24"/>
                <w:szCs w:val="32"/>
              </w:rPr>
              <w:t>1</w:t>
            </w:r>
          </w:p>
        </w:tc>
      </w:tr>
    </w:tbl>
    <w:p w:rsidR="006C4526" w:rsidRDefault="008C1EC8" w:rsidP="00EF36A5">
      <w:pPr>
        <w:adjustRightInd w:val="0"/>
        <w:snapToGrid w:val="0"/>
        <w:spacing w:beforeLines="50" w:line="560" w:lineRule="exact"/>
        <w:ind w:firstLineChars="200" w:firstLine="627"/>
        <w:rPr>
          <w:rFonts w:ascii="黑体" w:eastAsia="黑体" w:hAnsi="黑体" w:cs="Times New Roman"/>
          <w:color w:val="000000"/>
          <w:sz w:val="32"/>
          <w:szCs w:val="32"/>
        </w:rPr>
      </w:pPr>
      <w:r>
        <w:rPr>
          <w:rFonts w:ascii="黑体" w:eastAsia="黑体" w:hAnsi="黑体" w:cs="Times New Roman"/>
          <w:color w:val="000000"/>
          <w:sz w:val="32"/>
          <w:szCs w:val="32"/>
        </w:rPr>
        <w:t>2</w:t>
      </w:r>
      <w:r>
        <w:rPr>
          <w:rFonts w:ascii="黑体" w:eastAsia="黑体" w:hAnsi="黑体" w:cs="Times New Roman" w:hint="eastAsia"/>
          <w:color w:val="000000"/>
          <w:sz w:val="32"/>
          <w:szCs w:val="32"/>
        </w:rPr>
        <w:t xml:space="preserve"> 检验依据</w:t>
      </w:r>
    </w:p>
    <w:p w:rsidR="006C4526" w:rsidRDefault="008C1EC8" w:rsidP="00EF36A5">
      <w:pPr>
        <w:pStyle w:val="a6"/>
        <w:widowControl w:val="0"/>
        <w:adjustRightInd w:val="0"/>
        <w:snapToGrid w:val="0"/>
        <w:spacing w:beforeLines="50" w:beforeAutospacing="0" w:afterLines="50" w:afterAutospacing="0" w:line="560" w:lineRule="exact"/>
        <w:ind w:firstLine="198"/>
        <w:contextualSpacing/>
        <w:jc w:val="center"/>
        <w:rPr>
          <w:rFonts w:ascii="仿宋_GB2312" w:eastAsia="仿宋_GB2312" w:hAnsi="Times New Roman" w:cs="黑体"/>
          <w:b/>
          <w:kern w:val="2"/>
          <w:sz w:val="32"/>
          <w:szCs w:val="32"/>
        </w:rPr>
      </w:pPr>
      <w:r>
        <w:rPr>
          <w:rFonts w:ascii="仿宋_GB2312" w:eastAsia="仿宋_GB2312" w:hAnsi="Times New Roman" w:cs="黑体"/>
          <w:b/>
          <w:kern w:val="2"/>
          <w:sz w:val="32"/>
          <w:szCs w:val="32"/>
        </w:rPr>
        <w:t xml:space="preserve">表2 </w:t>
      </w:r>
      <w:r>
        <w:rPr>
          <w:rFonts w:ascii="仿宋_GB2312" w:eastAsia="仿宋_GB2312" w:hAnsi="Times New Roman" w:cs="黑体" w:hint="eastAsia"/>
          <w:b/>
          <w:kern w:val="2"/>
          <w:sz w:val="32"/>
          <w:szCs w:val="32"/>
        </w:rPr>
        <w:t>车用乙醇汽油</w:t>
      </w:r>
    </w:p>
    <w:tbl>
      <w:tblPr>
        <w:tblW w:w="86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538"/>
        <w:gridCol w:w="4104"/>
      </w:tblGrid>
      <w:tr w:rsidR="006C4526">
        <w:trPr>
          <w:trHeight w:val="139"/>
        </w:trPr>
        <w:tc>
          <w:tcPr>
            <w:tcW w:w="990" w:type="dxa"/>
          </w:tcPr>
          <w:p w:rsidR="006C4526" w:rsidRDefault="008C1EC8">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序号</w:t>
            </w:r>
          </w:p>
        </w:tc>
        <w:tc>
          <w:tcPr>
            <w:tcW w:w="3538" w:type="dxa"/>
          </w:tcPr>
          <w:p w:rsidR="006C4526" w:rsidRDefault="008C1EC8">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检验项目</w:t>
            </w:r>
          </w:p>
        </w:tc>
        <w:tc>
          <w:tcPr>
            <w:tcW w:w="4104" w:type="dxa"/>
          </w:tcPr>
          <w:p w:rsidR="006C4526" w:rsidRDefault="008C1EC8">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检验方法</w:t>
            </w:r>
          </w:p>
        </w:tc>
      </w:tr>
      <w:tr w:rsidR="00EF36A5" w:rsidTr="00683AC6">
        <w:trPr>
          <w:trHeight w:val="394"/>
        </w:trPr>
        <w:tc>
          <w:tcPr>
            <w:tcW w:w="990" w:type="dxa"/>
            <w:vAlign w:val="center"/>
          </w:tcPr>
          <w:p w:rsidR="00EF36A5" w:rsidRDefault="00EF36A5">
            <w:pPr>
              <w:pStyle w:val="ab"/>
              <w:adjustRightInd w:val="0"/>
              <w:snapToGrid w:val="0"/>
              <w:jc w:val="center"/>
              <w:rPr>
                <w:rFonts w:ascii="仿宋_GB2312" w:eastAsia="仿宋_GB2312" w:hAnsi="Times New Roman" w:cs="仿宋_GB2312"/>
                <w:color w:val="000000" w:themeColor="text1"/>
                <w:sz w:val="24"/>
                <w:szCs w:val="24"/>
              </w:rPr>
            </w:pPr>
            <w:r>
              <w:rPr>
                <w:rFonts w:ascii="仿宋_GB2312" w:eastAsia="仿宋_GB2312" w:hAnsi="Times New Roman" w:cs="仿宋_GB2312"/>
                <w:color w:val="000000" w:themeColor="text1"/>
                <w:sz w:val="24"/>
                <w:szCs w:val="24"/>
              </w:rPr>
              <w:t>1</w:t>
            </w:r>
          </w:p>
        </w:tc>
        <w:tc>
          <w:tcPr>
            <w:tcW w:w="3538"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研究法辛烷值</w:t>
            </w:r>
          </w:p>
        </w:tc>
        <w:tc>
          <w:tcPr>
            <w:tcW w:w="4104"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GB/T5487-2015</w:t>
            </w:r>
          </w:p>
        </w:tc>
      </w:tr>
      <w:tr w:rsidR="00EF36A5" w:rsidTr="00683AC6">
        <w:trPr>
          <w:trHeight w:val="661"/>
        </w:trPr>
        <w:tc>
          <w:tcPr>
            <w:tcW w:w="990" w:type="dxa"/>
            <w:vAlign w:val="center"/>
          </w:tcPr>
          <w:p w:rsidR="00EF36A5" w:rsidRDefault="00EF36A5">
            <w:pPr>
              <w:pStyle w:val="ab"/>
              <w:adjustRightInd w:val="0"/>
              <w:snapToGrid w:val="0"/>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2</w:t>
            </w:r>
          </w:p>
        </w:tc>
        <w:tc>
          <w:tcPr>
            <w:tcW w:w="3538"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硫含量</w:t>
            </w:r>
          </w:p>
        </w:tc>
        <w:tc>
          <w:tcPr>
            <w:tcW w:w="4104"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SH/T0689-2000</w:t>
            </w:r>
          </w:p>
        </w:tc>
      </w:tr>
      <w:tr w:rsidR="00EF36A5" w:rsidTr="00683AC6">
        <w:trPr>
          <w:trHeight w:val="376"/>
        </w:trPr>
        <w:tc>
          <w:tcPr>
            <w:tcW w:w="990" w:type="dxa"/>
            <w:vAlign w:val="center"/>
          </w:tcPr>
          <w:p w:rsidR="00EF36A5" w:rsidRDefault="00EF36A5">
            <w:pPr>
              <w:pStyle w:val="ab"/>
              <w:adjustRightInd w:val="0"/>
              <w:snapToGrid w:val="0"/>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3</w:t>
            </w:r>
          </w:p>
        </w:tc>
        <w:tc>
          <w:tcPr>
            <w:tcW w:w="3538"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乙醇含量</w:t>
            </w:r>
          </w:p>
        </w:tc>
        <w:tc>
          <w:tcPr>
            <w:tcW w:w="4104"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NB/SH/T0663-2014</w:t>
            </w:r>
          </w:p>
        </w:tc>
      </w:tr>
      <w:tr w:rsidR="00EF36A5" w:rsidTr="00683AC6">
        <w:trPr>
          <w:trHeight w:val="415"/>
        </w:trPr>
        <w:tc>
          <w:tcPr>
            <w:tcW w:w="990" w:type="dxa"/>
            <w:vAlign w:val="center"/>
          </w:tcPr>
          <w:p w:rsidR="00EF36A5" w:rsidRDefault="00EF36A5">
            <w:pPr>
              <w:pStyle w:val="ab"/>
              <w:adjustRightInd w:val="0"/>
              <w:snapToGrid w:val="0"/>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4</w:t>
            </w:r>
          </w:p>
        </w:tc>
        <w:tc>
          <w:tcPr>
            <w:tcW w:w="3538"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密度</w:t>
            </w:r>
          </w:p>
        </w:tc>
        <w:tc>
          <w:tcPr>
            <w:tcW w:w="4104"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GB/T1884-2000</w:t>
            </w:r>
          </w:p>
        </w:tc>
      </w:tr>
      <w:tr w:rsidR="00EF36A5" w:rsidTr="00683AC6">
        <w:trPr>
          <w:trHeight w:val="415"/>
        </w:trPr>
        <w:tc>
          <w:tcPr>
            <w:tcW w:w="990" w:type="dxa"/>
            <w:vAlign w:val="center"/>
          </w:tcPr>
          <w:p w:rsidR="00EF36A5" w:rsidRDefault="00EF36A5">
            <w:pPr>
              <w:pStyle w:val="ab"/>
              <w:adjustRightInd w:val="0"/>
              <w:snapToGrid w:val="0"/>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5</w:t>
            </w:r>
          </w:p>
        </w:tc>
        <w:tc>
          <w:tcPr>
            <w:tcW w:w="3538"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铜片腐蚀</w:t>
            </w:r>
          </w:p>
        </w:tc>
        <w:tc>
          <w:tcPr>
            <w:tcW w:w="4104" w:type="dxa"/>
          </w:tcPr>
          <w:p w:rsidR="00EF36A5" w:rsidRPr="00EF36A5" w:rsidRDefault="00EF36A5" w:rsidP="00820425">
            <w:pPr>
              <w:jc w:val="center"/>
              <w:rPr>
                <w:rFonts w:ascii="仿宋_GB2312" w:eastAsia="仿宋_GB2312" w:hAnsi="Times New Roman" w:cs="仿宋_GB2312" w:hint="eastAsia"/>
                <w:color w:val="000000"/>
                <w:sz w:val="24"/>
                <w:szCs w:val="24"/>
              </w:rPr>
            </w:pPr>
            <w:r w:rsidRPr="00EF36A5">
              <w:rPr>
                <w:rFonts w:ascii="仿宋_GB2312" w:eastAsia="仿宋_GB2312" w:hAnsi="Times New Roman" w:cs="仿宋_GB2312" w:hint="eastAsia"/>
                <w:color w:val="000000"/>
                <w:sz w:val="24"/>
                <w:szCs w:val="24"/>
              </w:rPr>
              <w:t>GB/T5096-2017</w:t>
            </w:r>
          </w:p>
        </w:tc>
      </w:tr>
    </w:tbl>
    <w:p w:rsidR="006C4526" w:rsidRDefault="008C1EC8" w:rsidP="00FE7D84">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cs="Times New Roman" w:hint="eastAsia"/>
          <w:color w:val="000000"/>
          <w:sz w:val="32"/>
          <w:szCs w:val="32"/>
        </w:rPr>
        <w:lastRenderedPageBreak/>
        <w:t>凡是注日期的文件，其随后所有的修改单（不包括勘误的内容）或修订版不适用于本细则。凡是不注日期的文件，其最新版本适用于本细则。</w:t>
      </w:r>
    </w:p>
    <w:p w:rsidR="006C4526" w:rsidRDefault="008C1EC8" w:rsidP="00EF36A5">
      <w:pPr>
        <w:adjustRightInd w:val="0"/>
        <w:snapToGrid w:val="0"/>
        <w:spacing w:beforeLines="50" w:line="560" w:lineRule="exact"/>
        <w:ind w:firstLineChars="200" w:firstLine="627"/>
        <w:rPr>
          <w:rFonts w:ascii="黑体" w:eastAsia="黑体" w:hAnsi="黑体" w:cs="Times New Roman"/>
          <w:color w:val="000000"/>
          <w:sz w:val="32"/>
          <w:szCs w:val="32"/>
        </w:rPr>
      </w:pPr>
      <w:r>
        <w:rPr>
          <w:rFonts w:ascii="黑体" w:eastAsia="黑体" w:hAnsi="黑体" w:cs="Times New Roman"/>
          <w:color w:val="000000"/>
          <w:sz w:val="32"/>
          <w:szCs w:val="32"/>
        </w:rPr>
        <w:t>3</w:t>
      </w:r>
      <w:r>
        <w:rPr>
          <w:rFonts w:ascii="黑体" w:eastAsia="黑体" w:hAnsi="黑体" w:cs="Times New Roman" w:hint="eastAsia"/>
          <w:color w:val="000000"/>
          <w:sz w:val="32"/>
          <w:szCs w:val="32"/>
        </w:rPr>
        <w:t xml:space="preserve"> 判定规则</w:t>
      </w:r>
    </w:p>
    <w:p w:rsidR="006C4526" w:rsidRDefault="008C1EC8" w:rsidP="00EF36A5">
      <w:pPr>
        <w:adjustRightInd w:val="0"/>
        <w:snapToGrid w:val="0"/>
        <w:spacing w:line="560" w:lineRule="exact"/>
        <w:ind w:firstLineChars="200" w:firstLine="627"/>
        <w:rPr>
          <w:rFonts w:ascii="楷体_GB2312" w:eastAsia="楷体_GB2312" w:hAnsi="Times New Roman" w:cs="Times New Roman"/>
          <w:b/>
          <w:color w:val="000000"/>
          <w:sz w:val="32"/>
          <w:szCs w:val="32"/>
        </w:rPr>
      </w:pPr>
      <w:r>
        <w:rPr>
          <w:rFonts w:ascii="楷体_GB2312" w:eastAsia="楷体_GB2312" w:hAnsi="Times New Roman" w:cs="Times New Roman" w:hint="eastAsia"/>
          <w:b/>
          <w:color w:val="000000"/>
          <w:sz w:val="32"/>
          <w:szCs w:val="32"/>
        </w:rPr>
        <w:t>3.1依据标准</w:t>
      </w:r>
    </w:p>
    <w:p w:rsidR="006C4526" w:rsidRDefault="008C1EC8" w:rsidP="00FE7D84">
      <w:pPr>
        <w:adjustRightInd w:val="0"/>
        <w:snapToGrid w:val="0"/>
        <w:spacing w:line="560" w:lineRule="exact"/>
        <w:ind w:firstLineChars="200" w:firstLine="627"/>
        <w:rPr>
          <w:rFonts w:ascii="Times New Roman" w:eastAsia="仿宋_GB2312" w:hAnsi="Times New Roman" w:cs="Times New Roman"/>
          <w:color w:val="000000"/>
          <w:sz w:val="32"/>
          <w:szCs w:val="32"/>
        </w:rPr>
      </w:pPr>
      <w:r>
        <w:rPr>
          <w:rFonts w:ascii="仿宋_GB2312" w:eastAsia="仿宋_GB2312" w:hAnsi="Times New Roman" w:cs="宋体" w:hint="eastAsia"/>
          <w:sz w:val="32"/>
          <w:szCs w:val="32"/>
        </w:rPr>
        <w:t>GB 18351-2017  车用乙醇汽油（E10）</w:t>
      </w:r>
    </w:p>
    <w:p w:rsidR="006C4526" w:rsidRDefault="008C1EC8" w:rsidP="00EF36A5">
      <w:pPr>
        <w:adjustRightInd w:val="0"/>
        <w:snapToGrid w:val="0"/>
        <w:spacing w:line="560" w:lineRule="exact"/>
        <w:ind w:firstLineChars="200" w:firstLine="627"/>
        <w:rPr>
          <w:rFonts w:ascii="楷体_GB2312" w:eastAsia="楷体_GB2312" w:hAnsi="楷体" w:cs="Times New Roman"/>
          <w:b/>
          <w:color w:val="000000"/>
          <w:sz w:val="32"/>
          <w:szCs w:val="32"/>
        </w:rPr>
      </w:pPr>
      <w:r>
        <w:rPr>
          <w:rFonts w:ascii="楷体_GB2312" w:eastAsia="楷体_GB2312" w:hAnsi="楷体" w:cs="Times New Roman" w:hint="eastAsia"/>
          <w:b/>
          <w:color w:val="000000"/>
          <w:sz w:val="32"/>
          <w:szCs w:val="32"/>
        </w:rPr>
        <w:t>3.2判定原则</w:t>
      </w:r>
    </w:p>
    <w:p w:rsidR="006C4526" w:rsidRDefault="008C1EC8" w:rsidP="00FE7D84">
      <w:pPr>
        <w:adjustRightInd w:val="0"/>
        <w:snapToGrid w:val="0"/>
        <w:spacing w:line="560" w:lineRule="exact"/>
        <w:ind w:firstLineChars="200" w:firstLine="62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经检验，检验项目全部合格，判定为被抽查产品合格；检验项目中任一项或一项以上不合格，判定为被抽查产品不合格。</w:t>
      </w:r>
    </w:p>
    <w:p w:rsidR="006C4526" w:rsidRDefault="008C1EC8" w:rsidP="00FE7D84">
      <w:pPr>
        <w:adjustRightInd w:val="0"/>
        <w:snapToGrid w:val="0"/>
        <w:spacing w:line="560" w:lineRule="exact"/>
        <w:ind w:firstLineChars="199" w:firstLine="62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若被检产品明示的质量要求高于本细则中检验项目依据的标准要求时，应按被检产品明示的质量要求判定。</w:t>
      </w:r>
    </w:p>
    <w:p w:rsidR="006C4526" w:rsidRDefault="008C1EC8" w:rsidP="00FE7D84">
      <w:pPr>
        <w:adjustRightInd w:val="0"/>
        <w:snapToGrid w:val="0"/>
        <w:spacing w:line="560" w:lineRule="exact"/>
        <w:ind w:firstLineChars="199" w:firstLine="62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若被检产品明示的质量要求低于本细则中检验项目依据的强制性标准要求时，应按照强制性标准要求判定。</w:t>
      </w:r>
    </w:p>
    <w:p w:rsidR="006C4526" w:rsidRDefault="008C1EC8" w:rsidP="00FE7D84">
      <w:pPr>
        <w:adjustRightInd w:val="0"/>
        <w:snapToGrid w:val="0"/>
        <w:spacing w:line="560" w:lineRule="exact"/>
        <w:ind w:firstLineChars="199" w:firstLine="62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若被检产品明示的质量要求低于或包含本细则中检验项目依据的推荐性标准要求时，应以被检产品明示的质量要求判定。</w:t>
      </w:r>
    </w:p>
    <w:p w:rsidR="006C4526" w:rsidRDefault="008C1EC8" w:rsidP="00FE7D84">
      <w:pPr>
        <w:adjustRightInd w:val="0"/>
        <w:snapToGrid w:val="0"/>
        <w:spacing w:line="560" w:lineRule="exact"/>
        <w:ind w:firstLineChars="199" w:firstLine="624"/>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若被检产品明示的质量要求缺少本细则中检验项目依据的强制性标准要求时，应按照强制性标准要求判定。</w:t>
      </w:r>
    </w:p>
    <w:p w:rsidR="006C4526" w:rsidRDefault="008C1EC8" w:rsidP="006C4526">
      <w:pPr>
        <w:snapToGrid w:val="0"/>
        <w:spacing w:line="594" w:lineRule="exact"/>
        <w:ind w:firstLineChars="200" w:firstLine="627"/>
        <w:rPr>
          <w:rFonts w:ascii="Times New Roman"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若被检产品明示的质量要求缺少本细则中检验项目依据的推荐性标准要求时，该项目不参与判定。</w:t>
      </w:r>
    </w:p>
    <w:sectPr w:rsidR="006C4526" w:rsidSect="006C4526">
      <w:headerReference w:type="default" r:id="rId8"/>
      <w:footerReference w:type="default" r:id="rId9"/>
      <w:pgSz w:w="11906" w:h="16838"/>
      <w:pgMar w:top="1984" w:right="1474" w:bottom="1361" w:left="1474" w:header="851" w:footer="1361" w:gutter="0"/>
      <w:cols w:space="0"/>
      <w:docGrid w:type="linesAndChars" w:linePitch="29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4A" w:rsidRDefault="000A664A" w:rsidP="006C4526">
      <w:r>
        <w:separator/>
      </w:r>
    </w:p>
  </w:endnote>
  <w:endnote w:type="continuationSeparator" w:id="0">
    <w:p w:rsidR="000A664A" w:rsidRDefault="000A664A" w:rsidP="006C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26" w:rsidRDefault="00A65DA8">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218.05pt;margin-top:3.1pt;width:22.8pt;height:36.3pt;z-index:251658240;mso-wrap-style:none;mso-position-horizontal-relative:margin" o:gfxdata="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d0&#10;tK4+VP0FTKFlYat3lsc0USpvV8cAaTvFo0C9KuhU3GAOu54NbyYO+p/7LurxP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epNrjWAAAACAEAAA8AAAAAAAAAAQAgAAAAIgAAAGRycy9kb3ducmV2&#10;LnhtbFBLAQIUABQAAAAIAIdO4kC9dBt2NwIAAG8EAAAOAAAAAAAAAAEAIAAAACUBAABkcnMvZTJv&#10;RG9jLnhtbFBLBQYAAAAABgAGAFkBAADOBQAAAAA=&#10;" filled="f" stroked="f" strokeweight=".5pt">
          <v:textbox style="mso-fit-shape-to-text:t" inset="0,0,0,0">
            <w:txbxContent>
              <w:sdt>
                <w:sdtPr>
                  <w:rPr>
                    <w:rFonts w:ascii="仿宋_GB2312" w:eastAsia="仿宋_GB2312" w:hAnsi="仿宋_GB2312" w:cs="仿宋_GB2312" w:hint="eastAsia"/>
                    <w:sz w:val="28"/>
                    <w:szCs w:val="28"/>
                  </w:rPr>
                  <w:id w:val="-1261989823"/>
                </w:sdtPr>
                <w:sdtContent>
                  <w:p w:rsidR="006C4526" w:rsidRDefault="00A65DA8">
                    <w:pPr>
                      <w:pStyle w:val="a4"/>
                      <w:ind w:rightChars="150" w:right="31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8C1EC8">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EF36A5" w:rsidRPr="00EF36A5">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r w:rsidR="008C1EC8">
                      <w:rPr>
                        <w:rFonts w:ascii="仿宋_GB2312" w:eastAsia="仿宋_GB2312" w:hAnsi="仿宋_GB2312" w:cs="仿宋_GB2312" w:hint="eastAsia"/>
                        <w:sz w:val="28"/>
                        <w:szCs w:val="28"/>
                      </w:rPr>
                      <w:t xml:space="preserve"> </w:t>
                    </w:r>
                  </w:p>
                </w:sdtContent>
              </w:sdt>
              <w:p w:rsidR="006C4526" w:rsidRDefault="006C4526">
                <w:pPr>
                  <w:rPr>
                    <w:rFonts w:ascii="仿宋_GB2312" w:eastAsia="仿宋_GB2312" w:hAnsi="仿宋_GB2312" w:cs="仿宋_GB2312"/>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4A" w:rsidRDefault="000A664A" w:rsidP="006C4526">
      <w:r>
        <w:separator/>
      </w:r>
    </w:p>
  </w:footnote>
  <w:footnote w:type="continuationSeparator" w:id="0">
    <w:p w:rsidR="000A664A" w:rsidRDefault="000A664A" w:rsidP="006C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26" w:rsidRDefault="006C452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2"/>
  <w:drawingGridVerticalSpacing w:val="149"/>
  <w:noPunctuationKerning/>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0F8"/>
    <w:rsid w:val="000049CE"/>
    <w:rsid w:val="00013890"/>
    <w:rsid w:val="000232F9"/>
    <w:rsid w:val="0004524E"/>
    <w:rsid w:val="000500E0"/>
    <w:rsid w:val="000731C9"/>
    <w:rsid w:val="0009708F"/>
    <w:rsid w:val="000A664A"/>
    <w:rsid w:val="000A67A7"/>
    <w:rsid w:val="000C5CBE"/>
    <w:rsid w:val="000E21AE"/>
    <w:rsid w:val="000E741B"/>
    <w:rsid w:val="0010665E"/>
    <w:rsid w:val="00110586"/>
    <w:rsid w:val="00111EBD"/>
    <w:rsid w:val="001221A0"/>
    <w:rsid w:val="00125353"/>
    <w:rsid w:val="00174C75"/>
    <w:rsid w:val="001850A2"/>
    <w:rsid w:val="001C2564"/>
    <w:rsid w:val="001C71EA"/>
    <w:rsid w:val="001D4E92"/>
    <w:rsid w:val="001E0F6D"/>
    <w:rsid w:val="001E552C"/>
    <w:rsid w:val="001E79D2"/>
    <w:rsid w:val="00200404"/>
    <w:rsid w:val="002039FE"/>
    <w:rsid w:val="00206D31"/>
    <w:rsid w:val="00224E34"/>
    <w:rsid w:val="0022586F"/>
    <w:rsid w:val="0023233E"/>
    <w:rsid w:val="002455DC"/>
    <w:rsid w:val="00266EA3"/>
    <w:rsid w:val="00271EB5"/>
    <w:rsid w:val="002720F8"/>
    <w:rsid w:val="00282A92"/>
    <w:rsid w:val="002866B8"/>
    <w:rsid w:val="002A3AAD"/>
    <w:rsid w:val="002B21AB"/>
    <w:rsid w:val="002C742C"/>
    <w:rsid w:val="002C7FF9"/>
    <w:rsid w:val="002D31C1"/>
    <w:rsid w:val="002E3C81"/>
    <w:rsid w:val="002F6A10"/>
    <w:rsid w:val="003028AE"/>
    <w:rsid w:val="0032196E"/>
    <w:rsid w:val="003334B6"/>
    <w:rsid w:val="00333D9B"/>
    <w:rsid w:val="00351639"/>
    <w:rsid w:val="00366169"/>
    <w:rsid w:val="00371DAD"/>
    <w:rsid w:val="00377A6C"/>
    <w:rsid w:val="003A1AFF"/>
    <w:rsid w:val="003C1C3F"/>
    <w:rsid w:val="003C52B9"/>
    <w:rsid w:val="003D605A"/>
    <w:rsid w:val="00405F99"/>
    <w:rsid w:val="0041111B"/>
    <w:rsid w:val="004148E2"/>
    <w:rsid w:val="00431016"/>
    <w:rsid w:val="004329AE"/>
    <w:rsid w:val="00432EB7"/>
    <w:rsid w:val="004356B1"/>
    <w:rsid w:val="00442AF4"/>
    <w:rsid w:val="00460019"/>
    <w:rsid w:val="004601FD"/>
    <w:rsid w:val="00466DFC"/>
    <w:rsid w:val="00492560"/>
    <w:rsid w:val="00493CF3"/>
    <w:rsid w:val="004B2648"/>
    <w:rsid w:val="004B43A2"/>
    <w:rsid w:val="004B5426"/>
    <w:rsid w:val="004B7761"/>
    <w:rsid w:val="004E70B3"/>
    <w:rsid w:val="004E7BBF"/>
    <w:rsid w:val="004F1DF6"/>
    <w:rsid w:val="00514D35"/>
    <w:rsid w:val="00516F39"/>
    <w:rsid w:val="00542CED"/>
    <w:rsid w:val="00544714"/>
    <w:rsid w:val="00563F32"/>
    <w:rsid w:val="00580BA8"/>
    <w:rsid w:val="00581201"/>
    <w:rsid w:val="005951ED"/>
    <w:rsid w:val="005A6E49"/>
    <w:rsid w:val="005C153D"/>
    <w:rsid w:val="005E2062"/>
    <w:rsid w:val="005E4D78"/>
    <w:rsid w:val="005F5CF2"/>
    <w:rsid w:val="005F6F84"/>
    <w:rsid w:val="00602393"/>
    <w:rsid w:val="006049ED"/>
    <w:rsid w:val="00611970"/>
    <w:rsid w:val="0062664D"/>
    <w:rsid w:val="00626EBF"/>
    <w:rsid w:val="00640128"/>
    <w:rsid w:val="00645A0E"/>
    <w:rsid w:val="00646D0C"/>
    <w:rsid w:val="006529B5"/>
    <w:rsid w:val="00665A4B"/>
    <w:rsid w:val="00677A07"/>
    <w:rsid w:val="006861DD"/>
    <w:rsid w:val="00690D3D"/>
    <w:rsid w:val="00697C39"/>
    <w:rsid w:val="006B5372"/>
    <w:rsid w:val="006C0471"/>
    <w:rsid w:val="006C1431"/>
    <w:rsid w:val="006C4526"/>
    <w:rsid w:val="006D0D07"/>
    <w:rsid w:val="006D0E89"/>
    <w:rsid w:val="006D11C9"/>
    <w:rsid w:val="006F18D6"/>
    <w:rsid w:val="00714FAA"/>
    <w:rsid w:val="007243A5"/>
    <w:rsid w:val="007504BE"/>
    <w:rsid w:val="00762AAE"/>
    <w:rsid w:val="00767D4B"/>
    <w:rsid w:val="0078505F"/>
    <w:rsid w:val="00786089"/>
    <w:rsid w:val="00795BCF"/>
    <w:rsid w:val="007A2B31"/>
    <w:rsid w:val="007B216C"/>
    <w:rsid w:val="007B54E3"/>
    <w:rsid w:val="007D1A30"/>
    <w:rsid w:val="007D3664"/>
    <w:rsid w:val="007D548E"/>
    <w:rsid w:val="007E2777"/>
    <w:rsid w:val="007E39FB"/>
    <w:rsid w:val="008479E9"/>
    <w:rsid w:val="0086138B"/>
    <w:rsid w:val="00877622"/>
    <w:rsid w:val="00894008"/>
    <w:rsid w:val="00896DB8"/>
    <w:rsid w:val="008A724A"/>
    <w:rsid w:val="008C1EC8"/>
    <w:rsid w:val="008C5CD4"/>
    <w:rsid w:val="008D25FF"/>
    <w:rsid w:val="008D4A95"/>
    <w:rsid w:val="00903196"/>
    <w:rsid w:val="00924F0B"/>
    <w:rsid w:val="009305AB"/>
    <w:rsid w:val="00966F02"/>
    <w:rsid w:val="00992192"/>
    <w:rsid w:val="009941C0"/>
    <w:rsid w:val="009A6CC2"/>
    <w:rsid w:val="009D0B18"/>
    <w:rsid w:val="00A17F81"/>
    <w:rsid w:val="00A323F1"/>
    <w:rsid w:val="00A42A73"/>
    <w:rsid w:val="00A53AB1"/>
    <w:rsid w:val="00A65DA8"/>
    <w:rsid w:val="00AA0166"/>
    <w:rsid w:val="00AA79BD"/>
    <w:rsid w:val="00AD06A8"/>
    <w:rsid w:val="00AF2839"/>
    <w:rsid w:val="00B13F17"/>
    <w:rsid w:val="00B250D4"/>
    <w:rsid w:val="00B30457"/>
    <w:rsid w:val="00B338E2"/>
    <w:rsid w:val="00B64378"/>
    <w:rsid w:val="00B646E2"/>
    <w:rsid w:val="00B720CC"/>
    <w:rsid w:val="00B73C3B"/>
    <w:rsid w:val="00BA52A2"/>
    <w:rsid w:val="00BA6009"/>
    <w:rsid w:val="00BC6ADB"/>
    <w:rsid w:val="00BE277C"/>
    <w:rsid w:val="00C06925"/>
    <w:rsid w:val="00C15475"/>
    <w:rsid w:val="00C30EF2"/>
    <w:rsid w:val="00C34866"/>
    <w:rsid w:val="00C65D36"/>
    <w:rsid w:val="00C70720"/>
    <w:rsid w:val="00C73374"/>
    <w:rsid w:val="00C802EA"/>
    <w:rsid w:val="00CA5320"/>
    <w:rsid w:val="00CB0512"/>
    <w:rsid w:val="00CE1036"/>
    <w:rsid w:val="00CE723C"/>
    <w:rsid w:val="00CF2F09"/>
    <w:rsid w:val="00CF6AF3"/>
    <w:rsid w:val="00D10A00"/>
    <w:rsid w:val="00D134B3"/>
    <w:rsid w:val="00D141DE"/>
    <w:rsid w:val="00D20C61"/>
    <w:rsid w:val="00D21ADA"/>
    <w:rsid w:val="00D36E9D"/>
    <w:rsid w:val="00D523B8"/>
    <w:rsid w:val="00D843CC"/>
    <w:rsid w:val="00D95BA9"/>
    <w:rsid w:val="00DC2C32"/>
    <w:rsid w:val="00DD068E"/>
    <w:rsid w:val="00DE183D"/>
    <w:rsid w:val="00DE7E0F"/>
    <w:rsid w:val="00DF1C3D"/>
    <w:rsid w:val="00DF2639"/>
    <w:rsid w:val="00E10A0A"/>
    <w:rsid w:val="00E13B99"/>
    <w:rsid w:val="00E167CA"/>
    <w:rsid w:val="00E32F4F"/>
    <w:rsid w:val="00E44968"/>
    <w:rsid w:val="00E54B07"/>
    <w:rsid w:val="00E56919"/>
    <w:rsid w:val="00E73DDF"/>
    <w:rsid w:val="00E80840"/>
    <w:rsid w:val="00E80D03"/>
    <w:rsid w:val="00E81F24"/>
    <w:rsid w:val="00E82929"/>
    <w:rsid w:val="00E84038"/>
    <w:rsid w:val="00EB737E"/>
    <w:rsid w:val="00EC42EC"/>
    <w:rsid w:val="00EC63B4"/>
    <w:rsid w:val="00EC7CD0"/>
    <w:rsid w:val="00ED1658"/>
    <w:rsid w:val="00ED7784"/>
    <w:rsid w:val="00EE5575"/>
    <w:rsid w:val="00EF0FF9"/>
    <w:rsid w:val="00EF36A5"/>
    <w:rsid w:val="00F01B8D"/>
    <w:rsid w:val="00F03212"/>
    <w:rsid w:val="00F04334"/>
    <w:rsid w:val="00F1388B"/>
    <w:rsid w:val="00F13972"/>
    <w:rsid w:val="00F21862"/>
    <w:rsid w:val="00F4297A"/>
    <w:rsid w:val="00F44B76"/>
    <w:rsid w:val="00F7461A"/>
    <w:rsid w:val="00F77810"/>
    <w:rsid w:val="00F87FA7"/>
    <w:rsid w:val="00F932AA"/>
    <w:rsid w:val="00FB687D"/>
    <w:rsid w:val="00FC189A"/>
    <w:rsid w:val="00FC4FE1"/>
    <w:rsid w:val="00FD2FD0"/>
    <w:rsid w:val="00FE7884"/>
    <w:rsid w:val="00FE7D84"/>
    <w:rsid w:val="00FF01AF"/>
    <w:rsid w:val="00FF3C79"/>
    <w:rsid w:val="03633CE8"/>
    <w:rsid w:val="04AD267B"/>
    <w:rsid w:val="06A43FD8"/>
    <w:rsid w:val="09B802FA"/>
    <w:rsid w:val="0C090135"/>
    <w:rsid w:val="18600DA4"/>
    <w:rsid w:val="1A700323"/>
    <w:rsid w:val="1A730087"/>
    <w:rsid w:val="21AE27D6"/>
    <w:rsid w:val="22B51B96"/>
    <w:rsid w:val="24307F76"/>
    <w:rsid w:val="28322380"/>
    <w:rsid w:val="2AF62AC9"/>
    <w:rsid w:val="2B2B4536"/>
    <w:rsid w:val="2B3B13B8"/>
    <w:rsid w:val="2CCF54E4"/>
    <w:rsid w:val="2E191F4D"/>
    <w:rsid w:val="2E5A49E9"/>
    <w:rsid w:val="303C557E"/>
    <w:rsid w:val="31567C67"/>
    <w:rsid w:val="31781EF3"/>
    <w:rsid w:val="32337CF4"/>
    <w:rsid w:val="32670304"/>
    <w:rsid w:val="33515BAE"/>
    <w:rsid w:val="3899266B"/>
    <w:rsid w:val="392C2202"/>
    <w:rsid w:val="3A0850D6"/>
    <w:rsid w:val="3C2D68A1"/>
    <w:rsid w:val="3E1144CF"/>
    <w:rsid w:val="3E8838F7"/>
    <w:rsid w:val="402356EF"/>
    <w:rsid w:val="402925DA"/>
    <w:rsid w:val="404D13CF"/>
    <w:rsid w:val="48C570A4"/>
    <w:rsid w:val="49D8009E"/>
    <w:rsid w:val="4A673809"/>
    <w:rsid w:val="4BF210B7"/>
    <w:rsid w:val="4FE85C5D"/>
    <w:rsid w:val="50EB16C5"/>
    <w:rsid w:val="525B487D"/>
    <w:rsid w:val="52C35FEA"/>
    <w:rsid w:val="53226CDE"/>
    <w:rsid w:val="54587C4A"/>
    <w:rsid w:val="55976C12"/>
    <w:rsid w:val="55A961F2"/>
    <w:rsid w:val="58D861C1"/>
    <w:rsid w:val="5BED2034"/>
    <w:rsid w:val="5C370E42"/>
    <w:rsid w:val="5C6B2DC6"/>
    <w:rsid w:val="5C8517D2"/>
    <w:rsid w:val="5D82470C"/>
    <w:rsid w:val="5F8E6CF2"/>
    <w:rsid w:val="621A3C65"/>
    <w:rsid w:val="62DB05FD"/>
    <w:rsid w:val="62FA12BF"/>
    <w:rsid w:val="63435F73"/>
    <w:rsid w:val="63D51F26"/>
    <w:rsid w:val="64F10CB0"/>
    <w:rsid w:val="66571AF5"/>
    <w:rsid w:val="67DB3077"/>
    <w:rsid w:val="6A7348E4"/>
    <w:rsid w:val="6CCA2781"/>
    <w:rsid w:val="6CE1526E"/>
    <w:rsid w:val="6F372B8E"/>
    <w:rsid w:val="70926691"/>
    <w:rsid w:val="76635DD9"/>
    <w:rsid w:val="78080052"/>
    <w:rsid w:val="789F7665"/>
    <w:rsid w:val="79E45269"/>
    <w:rsid w:val="7EBC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4526"/>
    <w:rPr>
      <w:sz w:val="18"/>
      <w:szCs w:val="18"/>
    </w:rPr>
  </w:style>
  <w:style w:type="paragraph" w:styleId="a4">
    <w:name w:val="footer"/>
    <w:basedOn w:val="a"/>
    <w:link w:val="Char0"/>
    <w:uiPriority w:val="99"/>
    <w:unhideWhenUsed/>
    <w:qFormat/>
    <w:rsid w:val="006C452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C452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C4526"/>
    <w:pPr>
      <w:widowControl/>
      <w:autoSpaceDE w:val="0"/>
      <w:autoSpaceDN w:val="0"/>
      <w:adjustRightInd w:val="0"/>
      <w:snapToGrid w:val="0"/>
      <w:spacing w:line="600" w:lineRule="exact"/>
      <w:ind w:leftChars="323" w:left="646" w:firstLineChars="201" w:firstLine="643"/>
    </w:pPr>
    <w:rPr>
      <w:rFonts w:ascii="仿宋_GB2312" w:eastAsia="仿宋_GB2312"/>
      <w:sz w:val="32"/>
    </w:rPr>
  </w:style>
  <w:style w:type="paragraph" w:styleId="HTML">
    <w:name w:val="HTML Preformatted"/>
    <w:basedOn w:val="a"/>
    <w:link w:val="HTMLChar"/>
    <w:uiPriority w:val="99"/>
    <w:semiHidden/>
    <w:unhideWhenUsed/>
    <w:qFormat/>
    <w:rsid w:val="006C4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qFormat/>
    <w:rsid w:val="006C452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C45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6C4526"/>
  </w:style>
  <w:style w:type="character" w:styleId="a9">
    <w:name w:val="Hyperlink"/>
    <w:basedOn w:val="a0"/>
    <w:uiPriority w:val="99"/>
    <w:semiHidden/>
    <w:unhideWhenUsed/>
    <w:qFormat/>
    <w:rsid w:val="006C4526"/>
    <w:rPr>
      <w:color w:val="0000FF"/>
      <w:u w:val="single"/>
    </w:rPr>
  </w:style>
  <w:style w:type="paragraph" w:styleId="aa">
    <w:name w:val="List Paragraph"/>
    <w:basedOn w:val="a"/>
    <w:uiPriority w:val="34"/>
    <w:qFormat/>
    <w:rsid w:val="006C4526"/>
    <w:pPr>
      <w:ind w:firstLineChars="200" w:firstLine="420"/>
    </w:pPr>
  </w:style>
  <w:style w:type="paragraph" w:customStyle="1" w:styleId="17">
    <w:name w:val="17"/>
    <w:basedOn w:val="a"/>
    <w:qFormat/>
    <w:rsid w:val="006C452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link w:val="3"/>
    <w:qFormat/>
    <w:rsid w:val="006C4526"/>
    <w:rPr>
      <w:rFonts w:ascii="仿宋_GB2312" w:eastAsia="仿宋_GB2312"/>
      <w:sz w:val="32"/>
    </w:rPr>
  </w:style>
  <w:style w:type="character" w:customStyle="1" w:styleId="30">
    <w:name w:val="正文文本缩进 3 字符"/>
    <w:basedOn w:val="a0"/>
    <w:uiPriority w:val="99"/>
    <w:semiHidden/>
    <w:qFormat/>
    <w:rsid w:val="006C4526"/>
    <w:rPr>
      <w:sz w:val="16"/>
      <w:szCs w:val="16"/>
    </w:rPr>
  </w:style>
  <w:style w:type="character" w:customStyle="1" w:styleId="Char1">
    <w:name w:val="页眉 Char"/>
    <w:basedOn w:val="a0"/>
    <w:link w:val="a5"/>
    <w:uiPriority w:val="99"/>
    <w:qFormat/>
    <w:rsid w:val="006C4526"/>
    <w:rPr>
      <w:sz w:val="18"/>
      <w:szCs w:val="18"/>
    </w:rPr>
  </w:style>
  <w:style w:type="character" w:customStyle="1" w:styleId="Char0">
    <w:name w:val="页脚 Char"/>
    <w:basedOn w:val="a0"/>
    <w:link w:val="a4"/>
    <w:uiPriority w:val="99"/>
    <w:qFormat/>
    <w:rsid w:val="006C4526"/>
    <w:rPr>
      <w:sz w:val="18"/>
      <w:szCs w:val="18"/>
    </w:rPr>
  </w:style>
  <w:style w:type="character" w:customStyle="1" w:styleId="HTMLChar">
    <w:name w:val="HTML 预设格式 Char"/>
    <w:basedOn w:val="a0"/>
    <w:link w:val="HTML"/>
    <w:uiPriority w:val="99"/>
    <w:semiHidden/>
    <w:qFormat/>
    <w:rsid w:val="006C4526"/>
    <w:rPr>
      <w:rFonts w:ascii="宋体" w:eastAsia="宋体" w:hAnsi="宋体" w:cs="宋体"/>
      <w:kern w:val="0"/>
      <w:sz w:val="24"/>
      <w:szCs w:val="24"/>
    </w:rPr>
  </w:style>
  <w:style w:type="character" w:customStyle="1" w:styleId="Char">
    <w:name w:val="批注框文本 Char"/>
    <w:basedOn w:val="a0"/>
    <w:link w:val="a3"/>
    <w:uiPriority w:val="99"/>
    <w:semiHidden/>
    <w:qFormat/>
    <w:rsid w:val="006C4526"/>
    <w:rPr>
      <w:sz w:val="18"/>
      <w:szCs w:val="18"/>
    </w:rPr>
  </w:style>
  <w:style w:type="paragraph" w:customStyle="1" w:styleId="Default">
    <w:name w:val="Default"/>
    <w:qFormat/>
    <w:rsid w:val="006C4526"/>
    <w:pPr>
      <w:widowControl w:val="0"/>
      <w:autoSpaceDE w:val="0"/>
      <w:autoSpaceDN w:val="0"/>
      <w:adjustRightInd w:val="0"/>
    </w:pPr>
    <w:rPr>
      <w:rFonts w:ascii="仿宋" w:eastAsia="仿宋" w:cs="仿宋"/>
      <w:color w:val="000000"/>
      <w:sz w:val="24"/>
      <w:szCs w:val="24"/>
    </w:rPr>
  </w:style>
  <w:style w:type="paragraph" w:customStyle="1" w:styleId="ab">
    <w:name w:val="二级无标题条"/>
    <w:basedOn w:val="a"/>
    <w:qFormat/>
    <w:rsid w:val="006C4526"/>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51740-B5B6-486F-BA83-F5AA5DE5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660</Characters>
  <Application>Microsoft Office Word</Application>
  <DocSecurity>0</DocSecurity>
  <Lines>5</Lines>
  <Paragraphs>1</Paragraphs>
  <ScaleCrop>false</ScaleCrop>
  <Company>china</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市场监管总局关于开展口罩产品质量监督专项抽查有关工作的通知</dc:title>
  <dc:creator>USER</dc:creator>
  <cp:lastModifiedBy>gengzaixinS-14268</cp:lastModifiedBy>
  <cp:revision>5</cp:revision>
  <cp:lastPrinted>2020-02-05T02:38:00Z</cp:lastPrinted>
  <dcterms:created xsi:type="dcterms:W3CDTF">2022-02-28T01:10:00Z</dcterms:created>
  <dcterms:modified xsi:type="dcterms:W3CDTF">2022-03-03T06:51:00Z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