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652" w:rsidRDefault="002056F4">
      <w:pPr>
        <w:snapToGrid w:val="0"/>
        <w:spacing w:line="56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尿素水溶液产品质量</w:t>
      </w:r>
      <w:r w:rsidR="003F6652">
        <w:rPr>
          <w:rFonts w:ascii="方正小标宋简体" w:eastAsia="方正小标宋简体" w:hAnsi="方正小标宋简体" w:cs="方正小标宋简体" w:hint="eastAsia"/>
          <w:color w:val="000000"/>
          <w:sz w:val="44"/>
          <w:szCs w:val="44"/>
        </w:rPr>
        <w:t>三门峡市</w:t>
      </w:r>
    </w:p>
    <w:p w:rsidR="00C3337C" w:rsidRDefault="002056F4">
      <w:pPr>
        <w:snapToGrid w:val="0"/>
        <w:spacing w:line="56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监督抽查实施细则</w:t>
      </w:r>
    </w:p>
    <w:p w:rsidR="00C3337C" w:rsidRDefault="00C3337C" w:rsidP="003F6652">
      <w:pPr>
        <w:spacing w:line="560" w:lineRule="exact"/>
        <w:ind w:firstLineChars="200" w:firstLine="627"/>
        <w:rPr>
          <w:rFonts w:ascii="仿宋_GB2312" w:eastAsia="仿宋_GB2312" w:hAnsi="方正仿宋_GBK" w:cs="方正仿宋_GBK"/>
          <w:sz w:val="32"/>
          <w:szCs w:val="32"/>
        </w:rPr>
      </w:pPr>
    </w:p>
    <w:p w:rsidR="00C3337C" w:rsidRDefault="002056F4" w:rsidP="003F6652">
      <w:pPr>
        <w:spacing w:line="560" w:lineRule="exact"/>
        <w:ind w:firstLineChars="200" w:firstLine="627"/>
        <w:rPr>
          <w:rFonts w:ascii="仿宋_GB2312" w:eastAsia="仿宋_GB2312" w:hAnsi="宋体"/>
          <w:sz w:val="32"/>
          <w:szCs w:val="32"/>
        </w:rPr>
      </w:pPr>
      <w:r>
        <w:rPr>
          <w:rFonts w:ascii="仿宋_GB2312" w:eastAsia="仿宋_GB2312" w:hAnsi="方正仿宋_GBK" w:cs="方正仿宋_GBK" w:hint="eastAsia"/>
          <w:sz w:val="32"/>
          <w:szCs w:val="32"/>
        </w:rPr>
        <w:t>本细则适用</w:t>
      </w:r>
      <w:r w:rsidR="003F6652">
        <w:rPr>
          <w:rFonts w:ascii="仿宋_GB2312" w:eastAsia="仿宋_GB2312" w:hAnsi="方正仿宋_GBK" w:cs="方正仿宋_GBK" w:hint="eastAsia"/>
          <w:sz w:val="32"/>
          <w:szCs w:val="32"/>
        </w:rPr>
        <w:t>三门峡市</w:t>
      </w:r>
      <w:r>
        <w:rPr>
          <w:rFonts w:ascii="仿宋_GB2312" w:eastAsia="仿宋_GB2312" w:hAnsi="方正仿宋_GBK" w:cs="方正仿宋_GBK" w:hint="eastAsia"/>
          <w:sz w:val="32"/>
          <w:szCs w:val="32"/>
        </w:rPr>
        <w:t>市场监督管理局组织的车用尿素水溶液（柴油发动机氮氧化物还原剂</w:t>
      </w:r>
      <w:r>
        <w:rPr>
          <w:rFonts w:ascii="仿宋_GB2312" w:eastAsia="仿宋_GB2312" w:hAnsi="方正仿宋_GBK" w:cs="方正仿宋_GBK"/>
          <w:sz w:val="32"/>
          <w:szCs w:val="32"/>
        </w:rPr>
        <w:t xml:space="preserve"> </w:t>
      </w:r>
      <w:r>
        <w:rPr>
          <w:rFonts w:ascii="仿宋_GB2312" w:eastAsia="仿宋_GB2312" w:hAnsi="方正仿宋_GBK" w:cs="方正仿宋_GBK"/>
          <w:sz w:val="32"/>
          <w:szCs w:val="32"/>
        </w:rPr>
        <w:t>尿素水溶液（</w:t>
      </w:r>
      <w:r>
        <w:rPr>
          <w:rFonts w:ascii="仿宋_GB2312" w:eastAsia="仿宋_GB2312" w:hAnsi="方正仿宋_GBK" w:cs="方正仿宋_GBK"/>
          <w:sz w:val="32"/>
          <w:szCs w:val="32"/>
        </w:rPr>
        <w:t>AUS32</w:t>
      </w:r>
      <w:r>
        <w:rPr>
          <w:rFonts w:ascii="仿宋_GB2312" w:eastAsia="仿宋_GB2312" w:hAnsi="方正仿宋_GBK" w:cs="方正仿宋_GBK"/>
          <w:sz w:val="32"/>
          <w:szCs w:val="32"/>
        </w:rPr>
        <w:t>）</w:t>
      </w:r>
      <w:r>
        <w:rPr>
          <w:rFonts w:ascii="仿宋_GB2312" w:eastAsia="仿宋_GB2312" w:hAnsi="方正仿宋_GBK" w:cs="方正仿宋_GBK" w:hint="eastAsia"/>
          <w:sz w:val="32"/>
          <w:szCs w:val="32"/>
        </w:rPr>
        <w:t>）产品质量监督抽查。本细则规定了此产品的抽样方法、检验依据、检验项目、检验方法、判定原则等。</w:t>
      </w:r>
    </w:p>
    <w:p w:rsidR="00C3337C" w:rsidRDefault="002056F4" w:rsidP="003F6652">
      <w:pPr>
        <w:snapToGrid w:val="0"/>
        <w:spacing w:beforeLines="50" w:line="560" w:lineRule="exact"/>
        <w:ind w:firstLineChars="200" w:firstLine="627"/>
        <w:rPr>
          <w:rFonts w:ascii="黑体" w:eastAsia="黑体" w:hAnsi="黑体" w:cs="黑体"/>
          <w:color w:val="000000"/>
          <w:sz w:val="32"/>
          <w:szCs w:val="32"/>
        </w:rPr>
      </w:pPr>
      <w:r>
        <w:rPr>
          <w:rFonts w:ascii="黑体" w:eastAsia="黑体" w:hAnsi="黑体" w:cs="黑体"/>
          <w:color w:val="000000"/>
          <w:sz w:val="32"/>
          <w:szCs w:val="32"/>
        </w:rPr>
        <w:t>1.</w:t>
      </w:r>
      <w:r>
        <w:rPr>
          <w:rFonts w:ascii="黑体" w:eastAsia="黑体" w:hAnsi="黑体" w:cs="黑体" w:hint="eastAsia"/>
          <w:color w:val="000000"/>
          <w:sz w:val="32"/>
          <w:szCs w:val="32"/>
        </w:rPr>
        <w:t>抽样方法</w:t>
      </w:r>
    </w:p>
    <w:p w:rsidR="00C3337C" w:rsidRDefault="002056F4" w:rsidP="003F6652">
      <w:pPr>
        <w:snapToGrid w:val="0"/>
        <w:spacing w:line="560" w:lineRule="exact"/>
        <w:ind w:firstLineChars="200"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以</w:t>
      </w:r>
      <w:r>
        <w:rPr>
          <w:rFonts w:ascii="Times New Roman" w:eastAsia="仿宋_GB2312" w:hAnsi="Times New Roman" w:cs="Times New Roman"/>
          <w:color w:val="000000"/>
          <w:spacing w:val="-6"/>
          <w:sz w:val="32"/>
          <w:szCs w:val="32"/>
        </w:rPr>
        <w:t>随机抽样的方式在被抽样生产者、销售者的待销产品中抽取。</w:t>
      </w:r>
    </w:p>
    <w:p w:rsidR="00C3337C" w:rsidRDefault="002056F4" w:rsidP="003F6652">
      <w:pPr>
        <w:snapToGrid w:val="0"/>
        <w:spacing w:line="560" w:lineRule="exact"/>
        <w:ind w:firstLineChars="200" w:firstLine="627"/>
        <w:rPr>
          <w:rFonts w:ascii="Times New Roman" w:eastAsia="仿宋_GB2312" w:hAnsi="Times New Roman" w:cs="Times New Roman"/>
          <w:color w:val="000000"/>
          <w:spacing w:val="-6"/>
          <w:sz w:val="32"/>
          <w:szCs w:val="32"/>
        </w:rPr>
      </w:pPr>
      <w:r>
        <w:rPr>
          <w:rFonts w:ascii="Times New Roman" w:eastAsia="仿宋_GB2312" w:hAnsi="Times New Roman" w:cs="Times New Roman"/>
          <w:color w:val="000000"/>
          <w:sz w:val="32"/>
          <w:szCs w:val="32"/>
        </w:rPr>
        <w:t>随</w:t>
      </w:r>
      <w:r>
        <w:rPr>
          <w:rFonts w:ascii="Times New Roman" w:eastAsia="仿宋_GB2312" w:hAnsi="Times New Roman" w:cs="Times New Roman"/>
          <w:color w:val="000000"/>
          <w:spacing w:val="-6"/>
          <w:sz w:val="32"/>
          <w:szCs w:val="32"/>
        </w:rPr>
        <w:t>机数一般可使用随机数表、随机数骰子或扑克牌等方法产生。</w:t>
      </w:r>
    </w:p>
    <w:p w:rsidR="00C3337C" w:rsidRDefault="002056F4" w:rsidP="003F6652">
      <w:pPr>
        <w:adjustRightInd w:val="0"/>
        <w:snapToGrid w:val="0"/>
        <w:spacing w:beforeLines="50" w:afterLines="50" w:line="560" w:lineRule="exact"/>
        <w:ind w:firstLineChars="200" w:firstLine="627"/>
        <w:jc w:val="center"/>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表</w:t>
      </w:r>
      <w:r>
        <w:rPr>
          <w:rFonts w:ascii="仿宋_GB2312" w:eastAsia="仿宋_GB2312" w:hAnsi="Times New Roman" w:cs="Times New Roman" w:hint="eastAsia"/>
          <w:b/>
          <w:color w:val="000000" w:themeColor="text1"/>
          <w:sz w:val="32"/>
          <w:szCs w:val="32"/>
        </w:rPr>
        <w:t>1</w:t>
      </w:r>
      <w:r>
        <w:rPr>
          <w:rFonts w:ascii="仿宋_GB2312" w:eastAsia="仿宋_GB2312" w:hAnsi="Times New Roman" w:cs="Times New Roman" w:hint="eastAsia"/>
          <w:b/>
          <w:color w:val="000000" w:themeColor="text1"/>
          <w:sz w:val="32"/>
          <w:szCs w:val="32"/>
        </w:rPr>
        <w:t xml:space="preserve"> </w:t>
      </w:r>
      <w:r>
        <w:rPr>
          <w:rFonts w:ascii="仿宋_GB2312" w:eastAsia="仿宋_GB2312" w:hAnsi="Times New Roman" w:cs="Times New Roman" w:hint="eastAsia"/>
          <w:b/>
          <w:color w:val="000000" w:themeColor="text1"/>
          <w:sz w:val="32"/>
          <w:szCs w:val="32"/>
        </w:rPr>
        <w:t>样品抽取数量</w:t>
      </w:r>
    </w:p>
    <w:tbl>
      <w:tblPr>
        <w:tblW w:w="8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1635"/>
        <w:gridCol w:w="3210"/>
        <w:gridCol w:w="1755"/>
        <w:gridCol w:w="1635"/>
      </w:tblGrid>
      <w:tr w:rsidR="00C3337C">
        <w:trPr>
          <w:trHeight w:val="211"/>
          <w:tblHeader/>
        </w:trPr>
        <w:tc>
          <w:tcPr>
            <w:tcW w:w="707"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序号</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产品品种</w:t>
            </w:r>
          </w:p>
        </w:tc>
        <w:tc>
          <w:tcPr>
            <w:tcW w:w="3210"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抽样数量</w:t>
            </w:r>
          </w:p>
        </w:tc>
        <w:tc>
          <w:tcPr>
            <w:tcW w:w="175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检验样品数量</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备用样品数量</w:t>
            </w:r>
          </w:p>
        </w:tc>
      </w:tr>
      <w:tr w:rsidR="00C3337C">
        <w:trPr>
          <w:trHeight w:val="191"/>
        </w:trPr>
        <w:tc>
          <w:tcPr>
            <w:tcW w:w="707" w:type="dxa"/>
            <w:vAlign w:val="center"/>
          </w:tcPr>
          <w:p w:rsidR="00C3337C" w:rsidRDefault="002056F4">
            <w:pPr>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尿素水溶液</w:t>
            </w:r>
          </w:p>
        </w:tc>
        <w:tc>
          <w:tcPr>
            <w:tcW w:w="3210"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不少于</w:t>
            </w:r>
            <w:r>
              <w:rPr>
                <w:rFonts w:ascii="仿宋_GB2312" w:eastAsia="仿宋_GB2312" w:hAnsi="仿宋_GB2312" w:cs="仿宋_GB2312" w:hint="eastAsia"/>
                <w:color w:val="000000"/>
                <w:sz w:val="24"/>
                <w:szCs w:val="24"/>
              </w:rPr>
              <w:t>2L</w:t>
            </w:r>
            <w:r>
              <w:rPr>
                <w:rFonts w:ascii="仿宋_GB2312" w:eastAsia="仿宋_GB2312" w:hAnsi="仿宋_GB2312" w:cs="仿宋_GB2312" w:hint="eastAsia"/>
                <w:color w:val="000000"/>
                <w:sz w:val="24"/>
                <w:szCs w:val="24"/>
              </w:rPr>
              <w:t>独立包装样品</w:t>
            </w: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份</w:t>
            </w:r>
          </w:p>
        </w:tc>
        <w:tc>
          <w:tcPr>
            <w:tcW w:w="175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1635" w:type="dxa"/>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r>
    </w:tbl>
    <w:p w:rsidR="00C3337C" w:rsidRDefault="002056F4" w:rsidP="003F6652">
      <w:pPr>
        <w:snapToGrid w:val="0"/>
        <w:spacing w:beforeLines="50" w:line="560" w:lineRule="exact"/>
        <w:ind w:firstLineChars="200" w:firstLine="627"/>
        <w:rPr>
          <w:rFonts w:ascii="黑体" w:eastAsia="黑体" w:hAnsi="黑体" w:cs="黑体"/>
          <w:color w:val="000000"/>
          <w:sz w:val="32"/>
          <w:szCs w:val="32"/>
        </w:rPr>
      </w:pPr>
      <w:r>
        <w:rPr>
          <w:rFonts w:ascii="黑体" w:eastAsia="黑体" w:hAnsi="黑体" w:cs="黑体"/>
          <w:color w:val="000000"/>
          <w:sz w:val="32"/>
          <w:szCs w:val="32"/>
        </w:rPr>
        <w:t>2.</w:t>
      </w:r>
      <w:r>
        <w:rPr>
          <w:rFonts w:ascii="黑体" w:eastAsia="黑体" w:hAnsi="黑体" w:cs="黑体" w:hint="eastAsia"/>
          <w:color w:val="000000"/>
          <w:sz w:val="32"/>
          <w:szCs w:val="32"/>
        </w:rPr>
        <w:t>检验依据</w:t>
      </w:r>
    </w:p>
    <w:p w:rsidR="00C3337C" w:rsidRDefault="002056F4" w:rsidP="003F6652">
      <w:pPr>
        <w:adjustRightInd w:val="0"/>
        <w:snapToGrid w:val="0"/>
        <w:spacing w:beforeLines="50" w:afterLines="50" w:line="560" w:lineRule="exact"/>
        <w:ind w:firstLineChars="200" w:firstLine="627"/>
        <w:jc w:val="center"/>
        <w:rPr>
          <w:rFonts w:ascii="仿宋_GB2312" w:eastAsia="仿宋_GB2312" w:hAnsi="Times New Roman" w:cs="Times New Roman"/>
          <w:b/>
          <w:color w:val="000000" w:themeColor="text1"/>
          <w:sz w:val="32"/>
          <w:szCs w:val="32"/>
        </w:rPr>
      </w:pPr>
      <w:r>
        <w:rPr>
          <w:rFonts w:ascii="仿宋_GB2312" w:eastAsia="仿宋_GB2312" w:hAnsi="Times New Roman" w:cs="Times New Roman" w:hint="eastAsia"/>
          <w:b/>
          <w:color w:val="000000" w:themeColor="text1"/>
          <w:sz w:val="32"/>
          <w:szCs w:val="32"/>
        </w:rPr>
        <w:t>表</w:t>
      </w:r>
      <w:r>
        <w:rPr>
          <w:rFonts w:ascii="仿宋_GB2312" w:eastAsia="仿宋_GB2312" w:hAnsi="Times New Roman" w:cs="Times New Roman" w:hint="eastAsia"/>
          <w:b/>
          <w:color w:val="000000" w:themeColor="text1"/>
          <w:sz w:val="32"/>
          <w:szCs w:val="32"/>
        </w:rPr>
        <w:t xml:space="preserve">2 </w:t>
      </w:r>
      <w:r>
        <w:rPr>
          <w:rFonts w:ascii="仿宋_GB2312" w:eastAsia="仿宋_GB2312" w:hAnsi="Times New Roman" w:cs="Times New Roman" w:hint="eastAsia"/>
          <w:b/>
          <w:color w:val="000000" w:themeColor="text1"/>
          <w:sz w:val="32"/>
          <w:szCs w:val="32"/>
        </w:rPr>
        <w:t>尿素水溶液</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0"/>
        <w:gridCol w:w="592"/>
        <w:gridCol w:w="3938"/>
        <w:gridCol w:w="3603"/>
      </w:tblGrid>
      <w:tr w:rsidR="00C3337C" w:rsidTr="00C13F76">
        <w:trPr>
          <w:trHeight w:val="361"/>
          <w:tblHeader/>
          <w:jc w:val="center"/>
        </w:trPr>
        <w:tc>
          <w:tcPr>
            <w:tcW w:w="463"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序号</w:t>
            </w:r>
          </w:p>
        </w:tc>
        <w:tc>
          <w:tcPr>
            <w:tcW w:w="2527" w:type="pct"/>
            <w:gridSpan w:val="2"/>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检验项目</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检验方法</w:t>
            </w:r>
          </w:p>
        </w:tc>
      </w:tr>
      <w:tr w:rsidR="00C3337C" w:rsidTr="00C13F76">
        <w:trPr>
          <w:trHeight w:val="125"/>
          <w:jc w:val="center"/>
        </w:trPr>
        <w:tc>
          <w:tcPr>
            <w:tcW w:w="463"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p>
        </w:tc>
        <w:tc>
          <w:tcPr>
            <w:tcW w:w="2527" w:type="pct"/>
            <w:gridSpan w:val="2"/>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尿素含量（质量分数）</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GB29518-2013</w:t>
            </w:r>
            <w:r>
              <w:rPr>
                <w:rFonts w:ascii="仿宋_GB2312" w:eastAsia="仿宋_GB2312" w:hAnsi="仿宋_GB2312" w:cs="仿宋_GB2312" w:hint="eastAsia"/>
                <w:color w:val="000000"/>
                <w:sz w:val="24"/>
                <w:szCs w:val="24"/>
              </w:rPr>
              <w:t>附录</w:t>
            </w:r>
            <w:r>
              <w:rPr>
                <w:rFonts w:ascii="仿宋_GB2312" w:eastAsia="仿宋_GB2312" w:hAnsi="仿宋_GB2312" w:cs="仿宋_GB2312" w:hint="eastAsia"/>
                <w:color w:val="000000"/>
                <w:sz w:val="24"/>
                <w:szCs w:val="24"/>
              </w:rPr>
              <w:t>A</w:t>
            </w:r>
          </w:p>
        </w:tc>
      </w:tr>
      <w:tr w:rsidR="00C3337C" w:rsidTr="00C13F76">
        <w:trPr>
          <w:trHeight w:val="758"/>
          <w:jc w:val="center"/>
        </w:trPr>
        <w:tc>
          <w:tcPr>
            <w:tcW w:w="463"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p>
        </w:tc>
        <w:tc>
          <w:tcPr>
            <w:tcW w:w="2527" w:type="pct"/>
            <w:gridSpan w:val="2"/>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密度（</w:t>
            </w:r>
            <w:r>
              <w:rPr>
                <w:rFonts w:ascii="仿宋_GB2312" w:eastAsia="仿宋_GB2312" w:hAnsi="仿宋_GB2312" w:cs="仿宋_GB2312" w:hint="eastAsia"/>
                <w:color w:val="000000"/>
                <w:sz w:val="24"/>
                <w:szCs w:val="24"/>
              </w:rPr>
              <w:t>20</w:t>
            </w:r>
            <w:r>
              <w:rPr>
                <w:rFonts w:ascii="仿宋_GB2312" w:eastAsia="仿宋_GB2312" w:hAnsi="仿宋_GB2312" w:cs="仿宋_GB2312" w:hint="eastAsia"/>
                <w:color w:val="000000"/>
                <w:sz w:val="24"/>
                <w:szCs w:val="24"/>
              </w:rPr>
              <w:t>℃）</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SH/T0604-2000</w:t>
            </w:r>
          </w:p>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GB/T1884-2000</w:t>
            </w:r>
          </w:p>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GB/T1885-1998</w:t>
            </w:r>
          </w:p>
        </w:tc>
      </w:tr>
      <w:tr w:rsidR="00C3337C" w:rsidTr="00C13F76">
        <w:trPr>
          <w:trHeight w:val="90"/>
          <w:jc w:val="center"/>
        </w:trPr>
        <w:tc>
          <w:tcPr>
            <w:tcW w:w="463" w:type="pct"/>
            <w:vAlign w:val="center"/>
          </w:tcPr>
          <w:p w:rsidR="00C3337C" w:rsidRDefault="002056F4">
            <w:pPr>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3</w:t>
            </w:r>
          </w:p>
        </w:tc>
        <w:tc>
          <w:tcPr>
            <w:tcW w:w="2527" w:type="pct"/>
            <w:gridSpan w:val="2"/>
            <w:vAlign w:val="center"/>
          </w:tcPr>
          <w:p w:rsidR="00C3337C" w:rsidRDefault="002056F4">
            <w:pPr>
              <w:snapToGrid w:val="0"/>
              <w:jc w:val="center"/>
              <w:rPr>
                <w:rFonts w:ascii="Times New Roman" w:eastAsia="仿宋_GB2312" w:hAnsi="Times New Roman" w:cs="Times New Roman"/>
                <w:color w:val="000000"/>
                <w:sz w:val="24"/>
                <w:szCs w:val="24"/>
              </w:rPr>
            </w:pPr>
            <w:r>
              <w:rPr>
                <w:rFonts w:ascii="仿宋_GB2312" w:eastAsia="仿宋_GB2312" w:hAnsi="Times New Roman" w:hint="eastAsia"/>
                <w:color w:val="000000"/>
                <w:sz w:val="24"/>
                <w:szCs w:val="32"/>
              </w:rPr>
              <w:t>折光率</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GB/T614-2006</w:t>
            </w:r>
          </w:p>
        </w:tc>
      </w:tr>
      <w:tr w:rsidR="00C3337C" w:rsidTr="00173737">
        <w:trPr>
          <w:trHeight w:val="90"/>
          <w:jc w:val="center"/>
        </w:trPr>
        <w:tc>
          <w:tcPr>
            <w:tcW w:w="463" w:type="pct"/>
            <w:vAlign w:val="center"/>
          </w:tcPr>
          <w:p w:rsidR="00C3337C" w:rsidRDefault="00C13F76">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p>
        </w:tc>
        <w:tc>
          <w:tcPr>
            <w:tcW w:w="330" w:type="pct"/>
            <w:vMerge w:val="restart"/>
            <w:vAlign w:val="center"/>
          </w:tcPr>
          <w:p w:rsidR="00C3337C" w:rsidRDefault="00C3337C">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p>
        </w:tc>
        <w:tc>
          <w:tcPr>
            <w:tcW w:w="2197"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缩二脲（质量分数）</w:t>
            </w:r>
          </w:p>
        </w:tc>
        <w:tc>
          <w:tcPr>
            <w:tcW w:w="2010"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GB29518-2013</w:t>
            </w:r>
            <w:r>
              <w:rPr>
                <w:rFonts w:ascii="仿宋_GB2312" w:eastAsia="仿宋_GB2312" w:hAnsi="仿宋_GB2312" w:cs="仿宋_GB2312" w:hint="eastAsia"/>
                <w:color w:val="000000"/>
                <w:sz w:val="24"/>
                <w:szCs w:val="24"/>
              </w:rPr>
              <w:t>附录</w:t>
            </w:r>
            <w:r>
              <w:rPr>
                <w:rFonts w:ascii="仿宋_GB2312" w:eastAsia="仿宋_GB2312" w:hAnsi="仿宋_GB2312" w:cs="仿宋_GB2312" w:hint="eastAsia"/>
                <w:color w:val="000000"/>
                <w:sz w:val="24"/>
                <w:szCs w:val="24"/>
              </w:rPr>
              <w:t>C</w:t>
            </w:r>
          </w:p>
        </w:tc>
      </w:tr>
      <w:tr w:rsidR="00C3337C" w:rsidTr="00173737">
        <w:trPr>
          <w:trHeight w:val="90"/>
          <w:jc w:val="center"/>
        </w:trPr>
        <w:tc>
          <w:tcPr>
            <w:tcW w:w="463" w:type="pct"/>
            <w:vAlign w:val="center"/>
          </w:tcPr>
          <w:p w:rsidR="00C3337C" w:rsidRDefault="00C13F76">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lastRenderedPageBreak/>
              <w:t>5</w:t>
            </w:r>
          </w:p>
        </w:tc>
        <w:tc>
          <w:tcPr>
            <w:tcW w:w="330" w:type="pct"/>
            <w:vMerge/>
            <w:vAlign w:val="center"/>
          </w:tcPr>
          <w:p w:rsidR="00C3337C" w:rsidRDefault="00C3337C">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p>
        </w:tc>
        <w:tc>
          <w:tcPr>
            <w:tcW w:w="2197"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醛类（以</w:t>
            </w:r>
            <w:r>
              <w:rPr>
                <w:rFonts w:ascii="仿宋_GB2312" w:eastAsia="仿宋_GB2312" w:hAnsi="仿宋_GB2312" w:cs="仿宋_GB2312" w:hint="eastAsia"/>
                <w:color w:val="000000"/>
                <w:sz w:val="24"/>
                <w:szCs w:val="24"/>
              </w:rPr>
              <w:t>HCHO</w:t>
            </w:r>
            <w:r>
              <w:rPr>
                <w:rFonts w:ascii="仿宋_GB2312" w:eastAsia="仿宋_GB2312" w:hAnsi="仿宋_GB2312" w:cs="仿宋_GB2312" w:hint="eastAsia"/>
                <w:color w:val="000000"/>
                <w:sz w:val="24"/>
                <w:szCs w:val="24"/>
              </w:rPr>
              <w:t>计）</w:t>
            </w:r>
          </w:p>
        </w:tc>
        <w:tc>
          <w:tcPr>
            <w:tcW w:w="2010" w:type="pct"/>
            <w:vAlign w:val="center"/>
          </w:tcPr>
          <w:p w:rsidR="00C3337C" w:rsidRDefault="002056F4">
            <w:pPr>
              <w:snapToGri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GB29518-2013</w:t>
            </w:r>
            <w:r>
              <w:rPr>
                <w:rFonts w:ascii="仿宋_GB2312" w:eastAsia="仿宋_GB2312" w:hAnsi="Times New Roman" w:hint="eastAsia"/>
                <w:color w:val="000000"/>
                <w:sz w:val="24"/>
                <w:szCs w:val="32"/>
              </w:rPr>
              <w:t>附录</w:t>
            </w:r>
            <w:r>
              <w:rPr>
                <w:rFonts w:ascii="仿宋_GB2312" w:eastAsia="仿宋_GB2312" w:hAnsi="Times New Roman" w:hint="eastAsia"/>
                <w:color w:val="000000"/>
                <w:sz w:val="24"/>
                <w:szCs w:val="32"/>
              </w:rPr>
              <w:t>D</w:t>
            </w:r>
          </w:p>
        </w:tc>
      </w:tr>
      <w:tr w:rsidR="00C3337C" w:rsidTr="00173737">
        <w:trPr>
          <w:trHeight w:val="361"/>
          <w:jc w:val="center"/>
        </w:trPr>
        <w:tc>
          <w:tcPr>
            <w:tcW w:w="463" w:type="pct"/>
            <w:vAlign w:val="center"/>
          </w:tcPr>
          <w:p w:rsidR="00C3337C" w:rsidRDefault="00C13F76">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p>
        </w:tc>
        <w:tc>
          <w:tcPr>
            <w:tcW w:w="330" w:type="pct"/>
            <w:vMerge/>
            <w:vAlign w:val="center"/>
          </w:tcPr>
          <w:p w:rsidR="00C3337C" w:rsidRDefault="00C3337C">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p>
        </w:tc>
        <w:tc>
          <w:tcPr>
            <w:tcW w:w="2197" w:type="pct"/>
            <w:vAlign w:val="center"/>
          </w:tcPr>
          <w:p w:rsidR="00C3337C" w:rsidRDefault="002056F4">
            <w:pPr>
              <w:adjustRightInd w:val="0"/>
              <w:snapToGrid w:val="0"/>
              <w:spacing w:before="60" w:after="60"/>
              <w:ind w:leftChars="-50" w:left="-102" w:rightChars="-50" w:right="-102"/>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不溶物</w:t>
            </w:r>
          </w:p>
        </w:tc>
        <w:tc>
          <w:tcPr>
            <w:tcW w:w="2010" w:type="pct"/>
            <w:vAlign w:val="center"/>
          </w:tcPr>
          <w:p w:rsidR="00C3337C" w:rsidRDefault="002056F4">
            <w:pPr>
              <w:snapToGrid w:val="0"/>
              <w:jc w:val="center"/>
              <w:rPr>
                <w:rFonts w:ascii="仿宋_GB2312" w:eastAsia="仿宋_GB2312" w:hAnsi="Times New Roman"/>
                <w:color w:val="000000"/>
                <w:sz w:val="24"/>
                <w:szCs w:val="32"/>
              </w:rPr>
            </w:pPr>
            <w:r>
              <w:rPr>
                <w:rFonts w:ascii="仿宋_GB2312" w:eastAsia="仿宋_GB2312" w:hAnsi="Times New Roman" w:hint="eastAsia"/>
                <w:color w:val="000000"/>
                <w:sz w:val="24"/>
                <w:szCs w:val="32"/>
              </w:rPr>
              <w:t>GB29518-2013</w:t>
            </w:r>
            <w:r>
              <w:rPr>
                <w:rFonts w:ascii="仿宋_GB2312" w:eastAsia="仿宋_GB2312" w:hAnsi="Times New Roman" w:hint="eastAsia"/>
                <w:color w:val="000000"/>
                <w:sz w:val="24"/>
                <w:szCs w:val="32"/>
              </w:rPr>
              <w:t>附录</w:t>
            </w:r>
            <w:r>
              <w:rPr>
                <w:rFonts w:ascii="仿宋_GB2312" w:eastAsia="仿宋_GB2312" w:hAnsi="Times New Roman" w:hint="eastAsia"/>
                <w:color w:val="000000"/>
                <w:sz w:val="24"/>
                <w:szCs w:val="32"/>
              </w:rPr>
              <w:t>E</w:t>
            </w:r>
          </w:p>
        </w:tc>
      </w:tr>
    </w:tbl>
    <w:p w:rsidR="00C3337C" w:rsidRDefault="002056F4" w:rsidP="003F6652">
      <w:pPr>
        <w:adjustRightInd w:val="0"/>
        <w:snapToGrid w:val="0"/>
        <w:spacing w:line="560" w:lineRule="exact"/>
        <w:ind w:firstLineChars="200" w:firstLine="627"/>
        <w:rPr>
          <w:rFonts w:ascii="仿宋_GB2312" w:eastAsia="仿宋_GB2312" w:hAnsi="Times New Roman"/>
          <w:color w:val="000000"/>
          <w:sz w:val="32"/>
          <w:szCs w:val="32"/>
        </w:rPr>
      </w:pPr>
      <w:r>
        <w:rPr>
          <w:rFonts w:ascii="仿宋_GB2312" w:eastAsia="仿宋_GB2312" w:hAnsi="Times New Roman" w:hint="eastAsia"/>
          <w:color w:val="000000"/>
          <w:sz w:val="32"/>
          <w:szCs w:val="32"/>
        </w:rPr>
        <w:t>执行企业标准、团体标准、地方标准的产品，检验项目参照上述内容执行。</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凡是注日期的文件，其随后所有的修改单（不包括勘误的内容）或修订版不适用于本细则。凡是不注日期的文件，其最新版本适用于本细则。</w:t>
      </w:r>
    </w:p>
    <w:p w:rsidR="00C3337C" w:rsidRDefault="002056F4" w:rsidP="003F6652">
      <w:pPr>
        <w:spacing w:beforeLines="50" w:line="560" w:lineRule="exact"/>
        <w:ind w:firstLineChars="200" w:firstLine="627"/>
        <w:rPr>
          <w:rFonts w:ascii="黑体" w:eastAsia="黑体" w:hAnsi="黑体" w:cs="黑体"/>
          <w:color w:val="000000"/>
          <w:sz w:val="32"/>
          <w:szCs w:val="32"/>
        </w:rPr>
      </w:pPr>
      <w:r>
        <w:rPr>
          <w:rFonts w:ascii="黑体" w:eastAsia="黑体" w:hAnsi="黑体" w:cs="黑体"/>
          <w:color w:val="000000"/>
          <w:sz w:val="32"/>
          <w:szCs w:val="32"/>
        </w:rPr>
        <w:t>3.</w:t>
      </w:r>
      <w:r>
        <w:rPr>
          <w:rFonts w:ascii="黑体" w:eastAsia="黑体" w:hAnsi="黑体" w:cs="黑体" w:hint="eastAsia"/>
          <w:color w:val="000000"/>
          <w:sz w:val="32"/>
          <w:szCs w:val="32"/>
        </w:rPr>
        <w:t>判定规则</w:t>
      </w:r>
    </w:p>
    <w:p w:rsidR="00C3337C" w:rsidRDefault="002056F4" w:rsidP="003F6652">
      <w:pPr>
        <w:snapToGrid w:val="0"/>
        <w:spacing w:line="560" w:lineRule="exact"/>
        <w:ind w:firstLineChars="200" w:firstLine="630"/>
        <w:rPr>
          <w:rFonts w:ascii="楷体" w:eastAsia="楷体" w:hAnsi="楷体" w:cs="楷体"/>
          <w:b/>
          <w:bCs/>
          <w:color w:val="000000"/>
          <w:sz w:val="32"/>
          <w:szCs w:val="32"/>
        </w:rPr>
      </w:pPr>
      <w:r>
        <w:rPr>
          <w:rFonts w:ascii="楷体" w:eastAsia="楷体" w:hAnsi="楷体" w:cs="楷体" w:hint="eastAsia"/>
          <w:b/>
          <w:bCs/>
          <w:color w:val="000000"/>
          <w:sz w:val="32"/>
          <w:szCs w:val="32"/>
        </w:rPr>
        <w:t>3.1</w:t>
      </w:r>
      <w:r>
        <w:rPr>
          <w:rFonts w:ascii="楷体" w:eastAsia="楷体" w:hAnsi="楷体" w:cs="楷体" w:hint="eastAsia"/>
          <w:b/>
          <w:bCs/>
          <w:color w:val="000000"/>
          <w:sz w:val="32"/>
          <w:szCs w:val="32"/>
        </w:rPr>
        <w:t>依据标准</w:t>
      </w:r>
    </w:p>
    <w:p w:rsidR="00C3337C" w:rsidRDefault="002056F4" w:rsidP="003F6652">
      <w:pPr>
        <w:snapToGrid w:val="0"/>
        <w:spacing w:line="560" w:lineRule="exact"/>
        <w:ind w:firstLineChars="200"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GB29518-2013</w:t>
      </w:r>
      <w:r>
        <w:rPr>
          <w:rFonts w:ascii="仿宋_GB2312" w:eastAsia="仿宋_GB2312" w:hAnsi="仿宋_GB2312" w:cs="仿宋_GB2312" w:hint="eastAsia"/>
          <w:color w:val="000000"/>
          <w:sz w:val="32"/>
          <w:szCs w:val="32"/>
        </w:rPr>
        <w:t>柴油发动机氮氧化物还原剂</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尿素水溶液（</w:t>
      </w:r>
      <w:r>
        <w:rPr>
          <w:rFonts w:ascii="仿宋_GB2312" w:eastAsia="仿宋_GB2312" w:hAnsi="仿宋_GB2312" w:cs="仿宋_GB2312" w:hint="eastAsia"/>
          <w:color w:val="000000"/>
          <w:sz w:val="32"/>
          <w:szCs w:val="32"/>
        </w:rPr>
        <w:t>AUS32</w:t>
      </w:r>
      <w:r>
        <w:rPr>
          <w:rFonts w:ascii="仿宋_GB2312" w:eastAsia="仿宋_GB2312" w:hAnsi="仿宋_GB2312" w:cs="仿宋_GB2312" w:hint="eastAsia"/>
          <w:color w:val="000000"/>
          <w:sz w:val="32"/>
          <w:szCs w:val="32"/>
        </w:rPr>
        <w:t>）</w:t>
      </w:r>
      <w:bookmarkStart w:id="0" w:name="_GoBack"/>
      <w:bookmarkEnd w:id="0"/>
    </w:p>
    <w:p w:rsidR="00C3337C" w:rsidRDefault="002056F4" w:rsidP="003F6652">
      <w:pPr>
        <w:snapToGrid w:val="0"/>
        <w:spacing w:line="560" w:lineRule="exact"/>
        <w:ind w:firstLineChars="200"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现行有效的企业标准、团体标准、地方标准及产品明示质量要求</w:t>
      </w:r>
    </w:p>
    <w:p w:rsidR="00C3337C" w:rsidRDefault="002056F4" w:rsidP="003F6652">
      <w:pPr>
        <w:snapToGrid w:val="0"/>
        <w:spacing w:line="560" w:lineRule="exact"/>
        <w:ind w:firstLineChars="200" w:firstLine="630"/>
        <w:rPr>
          <w:rFonts w:ascii="楷体" w:eastAsia="楷体" w:hAnsi="楷体" w:cs="楷体"/>
          <w:b/>
          <w:bCs/>
          <w:color w:val="000000"/>
          <w:sz w:val="32"/>
          <w:szCs w:val="32"/>
        </w:rPr>
      </w:pPr>
      <w:r>
        <w:rPr>
          <w:rFonts w:ascii="楷体" w:eastAsia="楷体" w:hAnsi="楷体" w:cs="楷体" w:hint="eastAsia"/>
          <w:b/>
          <w:bCs/>
          <w:color w:val="000000"/>
          <w:sz w:val="32"/>
          <w:szCs w:val="32"/>
        </w:rPr>
        <w:t>3.2</w:t>
      </w:r>
      <w:r>
        <w:rPr>
          <w:rFonts w:ascii="楷体" w:eastAsia="楷体" w:hAnsi="楷体" w:cs="楷体" w:hint="eastAsia"/>
          <w:b/>
          <w:bCs/>
          <w:color w:val="000000"/>
          <w:sz w:val="32"/>
          <w:szCs w:val="32"/>
        </w:rPr>
        <w:t>判定原则</w:t>
      </w:r>
    </w:p>
    <w:p w:rsidR="00C3337C" w:rsidRDefault="002056F4" w:rsidP="003F6652">
      <w:pPr>
        <w:snapToGrid w:val="0"/>
        <w:spacing w:line="560" w:lineRule="exact"/>
        <w:ind w:firstLineChars="200" w:firstLine="627"/>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经检验，检验项目全部合格，判定为被抽查产品合格；检验项目中任一项或一项以上不合格，判定为被抽查产品不合格。</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若被检产品明示的质量要求高于本细则中检验项目依据的标准要求时，应按被检产品明示的质量要求判定。</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若被检产品明示的质量要求低于本细则中检验项目依据的强制性标准要求时，应按照强制性标准要求判定。</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若被检产品明示的质量要求低于或包含本细则中检验项目依据的推荐性标准要求时，应以被检产品明示的质量要求判定。</w:t>
      </w:r>
    </w:p>
    <w:p w:rsidR="00C3337C" w:rsidRDefault="002056F4" w:rsidP="003F6652">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若被检产品明示的质量要求缺少本细则中检验项目依据的强制性标准要求时，应按照强制性标准要求判定。</w:t>
      </w:r>
    </w:p>
    <w:p w:rsidR="00C3337C" w:rsidRDefault="002056F4" w:rsidP="00C3337C">
      <w:pPr>
        <w:snapToGrid w:val="0"/>
        <w:spacing w:line="560" w:lineRule="exact"/>
        <w:ind w:firstLineChars="199" w:firstLine="624"/>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若被检产品明示的质量要求缺少本细则中检验项目依据的推荐性标准要求时，该项目不参与判定。</w:t>
      </w:r>
    </w:p>
    <w:sectPr w:rsidR="00C3337C" w:rsidSect="00C3337C">
      <w:footerReference w:type="default" r:id="rId8"/>
      <w:pgSz w:w="11906" w:h="16838"/>
      <w:pgMar w:top="1984" w:right="1474" w:bottom="1361" w:left="1474" w:header="851" w:footer="1361" w:gutter="0"/>
      <w:cols w:space="0"/>
      <w:docGrid w:type="linesAndChars" w:linePitch="298" w:charSpace="-1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6F4" w:rsidRDefault="002056F4" w:rsidP="00C3337C">
      <w:r>
        <w:separator/>
      </w:r>
    </w:p>
  </w:endnote>
  <w:endnote w:type="continuationSeparator" w:id="0">
    <w:p w:rsidR="002056F4" w:rsidRDefault="002056F4" w:rsidP="00C333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7C" w:rsidRDefault="00C3337C">
    <w:pPr>
      <w:pStyle w:val="a4"/>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rPr>
                    <w:rFonts w:ascii="宋体" w:eastAsia="宋体" w:hAnsi="宋体" w:cs="宋体" w:hint="eastAsia"/>
                    <w:sz w:val="28"/>
                    <w:szCs w:val="28"/>
                  </w:rPr>
                  <w:id w:val="-1261989823"/>
                </w:sdtPr>
                <w:sdtContent>
                  <w:p w:rsidR="00C3337C" w:rsidRDefault="002056F4">
                    <w:pPr>
                      <w:pStyle w:val="a4"/>
                      <w:ind w:leftChars="150" w:left="315" w:rightChars="150" w:right="315"/>
                      <w:jc w:val="center"/>
                      <w:rPr>
                        <w:rFonts w:ascii="宋体" w:eastAsia="宋体" w:hAnsi="宋体" w:cs="宋体"/>
                        <w:sz w:val="28"/>
                        <w:szCs w:val="28"/>
                      </w:rPr>
                    </w:pPr>
                    <w:r>
                      <w:rPr>
                        <w:rFonts w:ascii="宋体" w:eastAsia="宋体" w:hAnsi="宋体" w:cs="宋体" w:hint="eastAsia"/>
                        <w:sz w:val="28"/>
                        <w:szCs w:val="28"/>
                      </w:rPr>
                      <w:t xml:space="preserve"> </w:t>
                    </w:r>
                    <w:r w:rsidR="00C3337C">
                      <w:rPr>
                        <w:rFonts w:ascii="宋体" w:eastAsia="宋体" w:hAnsi="宋体" w:cs="宋体" w:hint="eastAsia"/>
                        <w:sz w:val="28"/>
                        <w:szCs w:val="28"/>
                      </w:rPr>
                      <w:fldChar w:fldCharType="begin"/>
                    </w:r>
                    <w:r>
                      <w:rPr>
                        <w:rFonts w:ascii="宋体" w:eastAsia="宋体" w:hAnsi="宋体" w:cs="宋体" w:hint="eastAsia"/>
                        <w:sz w:val="28"/>
                        <w:szCs w:val="28"/>
                      </w:rPr>
                      <w:instrText>PAGE   \* MERGEFORMAT</w:instrText>
                    </w:r>
                    <w:r w:rsidR="00C3337C">
                      <w:rPr>
                        <w:rFonts w:ascii="宋体" w:eastAsia="宋体" w:hAnsi="宋体" w:cs="宋体" w:hint="eastAsia"/>
                        <w:sz w:val="28"/>
                        <w:szCs w:val="28"/>
                      </w:rPr>
                      <w:fldChar w:fldCharType="separate"/>
                    </w:r>
                    <w:r w:rsidR="00173737" w:rsidRPr="00173737">
                      <w:rPr>
                        <w:rFonts w:ascii="宋体" w:eastAsia="宋体" w:hAnsi="宋体" w:cs="宋体"/>
                        <w:noProof/>
                        <w:sz w:val="28"/>
                        <w:szCs w:val="28"/>
                        <w:lang w:val="zh-CN"/>
                      </w:rPr>
                      <w:t>1</w:t>
                    </w:r>
                    <w:r w:rsidR="00C3337C">
                      <w:rPr>
                        <w:rFonts w:ascii="宋体" w:eastAsia="宋体" w:hAnsi="宋体" w:cs="宋体" w:hint="eastAsia"/>
                        <w:sz w:val="28"/>
                        <w:szCs w:val="28"/>
                      </w:rPr>
                      <w:fldChar w:fldCharType="end"/>
                    </w:r>
                    <w:r>
                      <w:rPr>
                        <w:rFonts w:ascii="宋体" w:eastAsia="宋体" w:hAnsi="宋体" w:cs="宋体" w:hint="eastAsia"/>
                        <w:sz w:val="28"/>
                        <w:szCs w:val="28"/>
                      </w:rPr>
                      <w:t xml:space="preserve"> </w:t>
                    </w:r>
                  </w:p>
                </w:sdtContent>
              </w:sdt>
              <w:p w:rsidR="00C3337C" w:rsidRDefault="00C3337C">
                <w:pPr>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6F4" w:rsidRDefault="002056F4" w:rsidP="00C3337C">
      <w:r>
        <w:separator/>
      </w:r>
    </w:p>
  </w:footnote>
  <w:footnote w:type="continuationSeparator" w:id="0">
    <w:p w:rsidR="002056F4" w:rsidRDefault="002056F4" w:rsidP="00C333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2"/>
  <w:drawingGridVerticalSpacing w:val="149"/>
  <w:displayHorizontalDrawingGridEvery w:val="2"/>
  <w:displayVerticalDrawingGridEvery w:val="2"/>
  <w:noPunctuationKerning/>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720F8"/>
    <w:rsid w:val="000049CE"/>
    <w:rsid w:val="00013890"/>
    <w:rsid w:val="000232F9"/>
    <w:rsid w:val="0004524E"/>
    <w:rsid w:val="000500E0"/>
    <w:rsid w:val="000731C9"/>
    <w:rsid w:val="00075F4C"/>
    <w:rsid w:val="0009708F"/>
    <w:rsid w:val="000A67A7"/>
    <w:rsid w:val="000C5CBE"/>
    <w:rsid w:val="000E21AE"/>
    <w:rsid w:val="000E741B"/>
    <w:rsid w:val="00110586"/>
    <w:rsid w:val="00111EBD"/>
    <w:rsid w:val="00125353"/>
    <w:rsid w:val="00173737"/>
    <w:rsid w:val="00174C75"/>
    <w:rsid w:val="001850A2"/>
    <w:rsid w:val="001C2564"/>
    <w:rsid w:val="001D4E92"/>
    <w:rsid w:val="001E0F6D"/>
    <w:rsid w:val="001E79D2"/>
    <w:rsid w:val="00200DE6"/>
    <w:rsid w:val="002039FE"/>
    <w:rsid w:val="002056F4"/>
    <w:rsid w:val="00206D31"/>
    <w:rsid w:val="00224E34"/>
    <w:rsid w:val="0023233E"/>
    <w:rsid w:val="002455DC"/>
    <w:rsid w:val="002666AB"/>
    <w:rsid w:val="00266EA3"/>
    <w:rsid w:val="00271EB5"/>
    <w:rsid w:val="002720F8"/>
    <w:rsid w:val="002A3AAD"/>
    <w:rsid w:val="002B21AB"/>
    <w:rsid w:val="002C7FF9"/>
    <w:rsid w:val="002D31C1"/>
    <w:rsid w:val="002E3C81"/>
    <w:rsid w:val="0032196E"/>
    <w:rsid w:val="003334B6"/>
    <w:rsid w:val="00333D9B"/>
    <w:rsid w:val="00366169"/>
    <w:rsid w:val="00371DAD"/>
    <w:rsid w:val="003A1AFF"/>
    <w:rsid w:val="003C52B9"/>
    <w:rsid w:val="003D605A"/>
    <w:rsid w:val="003F6652"/>
    <w:rsid w:val="00405F99"/>
    <w:rsid w:val="0041111B"/>
    <w:rsid w:val="004148E2"/>
    <w:rsid w:val="00432EB7"/>
    <w:rsid w:val="004356B1"/>
    <w:rsid w:val="00442AF4"/>
    <w:rsid w:val="00460019"/>
    <w:rsid w:val="00466DFC"/>
    <w:rsid w:val="00492560"/>
    <w:rsid w:val="00493CF3"/>
    <w:rsid w:val="004B2648"/>
    <w:rsid w:val="004B43A2"/>
    <w:rsid w:val="004B7761"/>
    <w:rsid w:val="004E70B3"/>
    <w:rsid w:val="004E7BBF"/>
    <w:rsid w:val="00514D35"/>
    <w:rsid w:val="00546417"/>
    <w:rsid w:val="00563F32"/>
    <w:rsid w:val="00580BA8"/>
    <w:rsid w:val="00581201"/>
    <w:rsid w:val="005951ED"/>
    <w:rsid w:val="005D636A"/>
    <w:rsid w:val="005E2062"/>
    <w:rsid w:val="005F6F84"/>
    <w:rsid w:val="00602393"/>
    <w:rsid w:val="006049ED"/>
    <w:rsid w:val="00611970"/>
    <w:rsid w:val="00626EBF"/>
    <w:rsid w:val="00645A0E"/>
    <w:rsid w:val="00646D0C"/>
    <w:rsid w:val="006529B5"/>
    <w:rsid w:val="00677A07"/>
    <w:rsid w:val="006861DD"/>
    <w:rsid w:val="00690D3D"/>
    <w:rsid w:val="00697C39"/>
    <w:rsid w:val="006B5372"/>
    <w:rsid w:val="006C1431"/>
    <w:rsid w:val="006D0D07"/>
    <w:rsid w:val="006D0E89"/>
    <w:rsid w:val="006D11C9"/>
    <w:rsid w:val="006F18D6"/>
    <w:rsid w:val="00714FAA"/>
    <w:rsid w:val="007243A5"/>
    <w:rsid w:val="007504BE"/>
    <w:rsid w:val="00762AAE"/>
    <w:rsid w:val="00767D4B"/>
    <w:rsid w:val="00786089"/>
    <w:rsid w:val="0079061D"/>
    <w:rsid w:val="00792EAA"/>
    <w:rsid w:val="00795BCF"/>
    <w:rsid w:val="00795C03"/>
    <w:rsid w:val="007B216C"/>
    <w:rsid w:val="007D1A30"/>
    <w:rsid w:val="007D3664"/>
    <w:rsid w:val="007D548E"/>
    <w:rsid w:val="007E2777"/>
    <w:rsid w:val="007E39FB"/>
    <w:rsid w:val="008479E9"/>
    <w:rsid w:val="0086138B"/>
    <w:rsid w:val="00896DB8"/>
    <w:rsid w:val="008C5CD4"/>
    <w:rsid w:val="008D4A95"/>
    <w:rsid w:val="00903196"/>
    <w:rsid w:val="00924F0B"/>
    <w:rsid w:val="00966F02"/>
    <w:rsid w:val="00992192"/>
    <w:rsid w:val="009941C0"/>
    <w:rsid w:val="009D0B18"/>
    <w:rsid w:val="00A42A73"/>
    <w:rsid w:val="00A53AB1"/>
    <w:rsid w:val="00AA79BD"/>
    <w:rsid w:val="00AD06A8"/>
    <w:rsid w:val="00AF2839"/>
    <w:rsid w:val="00B13F17"/>
    <w:rsid w:val="00B250D4"/>
    <w:rsid w:val="00B30457"/>
    <w:rsid w:val="00B338E2"/>
    <w:rsid w:val="00B720CC"/>
    <w:rsid w:val="00BA52A2"/>
    <w:rsid w:val="00BA6009"/>
    <w:rsid w:val="00C06925"/>
    <w:rsid w:val="00C13F76"/>
    <w:rsid w:val="00C15475"/>
    <w:rsid w:val="00C30EF2"/>
    <w:rsid w:val="00C3337C"/>
    <w:rsid w:val="00C34866"/>
    <w:rsid w:val="00C65D36"/>
    <w:rsid w:val="00C802EA"/>
    <w:rsid w:val="00CC0EBF"/>
    <w:rsid w:val="00CE1036"/>
    <w:rsid w:val="00CE723C"/>
    <w:rsid w:val="00CF2F09"/>
    <w:rsid w:val="00D10A00"/>
    <w:rsid w:val="00D20C61"/>
    <w:rsid w:val="00D21ADA"/>
    <w:rsid w:val="00D36E9D"/>
    <w:rsid w:val="00D523B8"/>
    <w:rsid w:val="00D843CC"/>
    <w:rsid w:val="00DC2C32"/>
    <w:rsid w:val="00DD068E"/>
    <w:rsid w:val="00DE6118"/>
    <w:rsid w:val="00DE7E0F"/>
    <w:rsid w:val="00DF1C3D"/>
    <w:rsid w:val="00DF2639"/>
    <w:rsid w:val="00E10A0A"/>
    <w:rsid w:val="00E167CA"/>
    <w:rsid w:val="00E32F4F"/>
    <w:rsid w:val="00E44968"/>
    <w:rsid w:val="00E56919"/>
    <w:rsid w:val="00E73DDF"/>
    <w:rsid w:val="00E81F24"/>
    <w:rsid w:val="00EB737E"/>
    <w:rsid w:val="00EC42EC"/>
    <w:rsid w:val="00EC63B4"/>
    <w:rsid w:val="00EC7CD0"/>
    <w:rsid w:val="00ED7784"/>
    <w:rsid w:val="00EE5575"/>
    <w:rsid w:val="00EF0FF9"/>
    <w:rsid w:val="00F03212"/>
    <w:rsid w:val="00F1388B"/>
    <w:rsid w:val="00F21862"/>
    <w:rsid w:val="00F4297A"/>
    <w:rsid w:val="00F7461A"/>
    <w:rsid w:val="00F77810"/>
    <w:rsid w:val="00F87FA7"/>
    <w:rsid w:val="00F932AA"/>
    <w:rsid w:val="00FA002B"/>
    <w:rsid w:val="00FD2FD0"/>
    <w:rsid w:val="00FE7884"/>
    <w:rsid w:val="00FF3AFD"/>
    <w:rsid w:val="03633CE8"/>
    <w:rsid w:val="04AD267B"/>
    <w:rsid w:val="06A43FD8"/>
    <w:rsid w:val="09B802FA"/>
    <w:rsid w:val="0C090135"/>
    <w:rsid w:val="18600DA4"/>
    <w:rsid w:val="1A700323"/>
    <w:rsid w:val="1A730087"/>
    <w:rsid w:val="1F112D53"/>
    <w:rsid w:val="21AE27D6"/>
    <w:rsid w:val="22B51B96"/>
    <w:rsid w:val="24307F76"/>
    <w:rsid w:val="28322380"/>
    <w:rsid w:val="2AF62AC9"/>
    <w:rsid w:val="2CCF54E4"/>
    <w:rsid w:val="2E191F4D"/>
    <w:rsid w:val="2E5A49E9"/>
    <w:rsid w:val="303C557E"/>
    <w:rsid w:val="31567C67"/>
    <w:rsid w:val="31781EF3"/>
    <w:rsid w:val="32337CF4"/>
    <w:rsid w:val="32670304"/>
    <w:rsid w:val="33515BAE"/>
    <w:rsid w:val="3899266B"/>
    <w:rsid w:val="392C2202"/>
    <w:rsid w:val="3A0850D6"/>
    <w:rsid w:val="3C2D68A1"/>
    <w:rsid w:val="3E1144CF"/>
    <w:rsid w:val="402356EF"/>
    <w:rsid w:val="402925DA"/>
    <w:rsid w:val="404D13CF"/>
    <w:rsid w:val="48C570A4"/>
    <w:rsid w:val="49D8009E"/>
    <w:rsid w:val="4BF210B7"/>
    <w:rsid w:val="4FE85C5D"/>
    <w:rsid w:val="50EB16C5"/>
    <w:rsid w:val="525B487D"/>
    <w:rsid w:val="52C35FEA"/>
    <w:rsid w:val="53226CDE"/>
    <w:rsid w:val="54587C4A"/>
    <w:rsid w:val="55A961F2"/>
    <w:rsid w:val="58D861C1"/>
    <w:rsid w:val="5BED2034"/>
    <w:rsid w:val="5C370E42"/>
    <w:rsid w:val="5C6B2DC6"/>
    <w:rsid w:val="5C8517D2"/>
    <w:rsid w:val="621A3C65"/>
    <w:rsid w:val="62DB05FD"/>
    <w:rsid w:val="62FA12BF"/>
    <w:rsid w:val="63435F73"/>
    <w:rsid w:val="63D51F26"/>
    <w:rsid w:val="64F10CB0"/>
    <w:rsid w:val="66571AF5"/>
    <w:rsid w:val="67DB3077"/>
    <w:rsid w:val="6A7348E4"/>
    <w:rsid w:val="6CCA2781"/>
    <w:rsid w:val="6CE1526E"/>
    <w:rsid w:val="6F372B8E"/>
    <w:rsid w:val="753846E7"/>
    <w:rsid w:val="76635DD9"/>
    <w:rsid w:val="78080052"/>
    <w:rsid w:val="789F7665"/>
    <w:rsid w:val="79E45269"/>
    <w:rsid w:val="7EBC0E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37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3337C"/>
    <w:rPr>
      <w:sz w:val="18"/>
      <w:szCs w:val="18"/>
    </w:rPr>
  </w:style>
  <w:style w:type="paragraph" w:styleId="a4">
    <w:name w:val="footer"/>
    <w:basedOn w:val="a"/>
    <w:link w:val="Char0"/>
    <w:uiPriority w:val="99"/>
    <w:unhideWhenUsed/>
    <w:qFormat/>
    <w:rsid w:val="00C3337C"/>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3337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C3337C"/>
    <w:pPr>
      <w:widowControl/>
      <w:autoSpaceDE w:val="0"/>
      <w:autoSpaceDN w:val="0"/>
      <w:adjustRightInd w:val="0"/>
      <w:snapToGrid w:val="0"/>
      <w:spacing w:line="600" w:lineRule="exact"/>
      <w:ind w:leftChars="323" w:left="646" w:firstLineChars="201" w:firstLine="643"/>
    </w:pPr>
    <w:rPr>
      <w:rFonts w:ascii="仿宋_GB2312" w:eastAsia="仿宋_GB2312"/>
      <w:sz w:val="32"/>
    </w:rPr>
  </w:style>
  <w:style w:type="paragraph" w:styleId="HTML">
    <w:name w:val="HTML Preformatted"/>
    <w:basedOn w:val="a"/>
    <w:link w:val="HTMLChar"/>
    <w:uiPriority w:val="99"/>
    <w:semiHidden/>
    <w:unhideWhenUsed/>
    <w:qFormat/>
    <w:rsid w:val="00C33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6">
    <w:name w:val="Table Grid"/>
    <w:basedOn w:val="a1"/>
    <w:qFormat/>
    <w:rsid w:val="00C333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qFormat/>
    <w:rsid w:val="00C3337C"/>
  </w:style>
  <w:style w:type="character" w:styleId="a8">
    <w:name w:val="Hyperlink"/>
    <w:basedOn w:val="a0"/>
    <w:uiPriority w:val="99"/>
    <w:semiHidden/>
    <w:unhideWhenUsed/>
    <w:qFormat/>
    <w:rsid w:val="00C3337C"/>
    <w:rPr>
      <w:color w:val="0000FF"/>
      <w:u w:val="single"/>
    </w:rPr>
  </w:style>
  <w:style w:type="paragraph" w:styleId="a9">
    <w:name w:val="List Paragraph"/>
    <w:basedOn w:val="a"/>
    <w:uiPriority w:val="34"/>
    <w:qFormat/>
    <w:rsid w:val="00C3337C"/>
    <w:pPr>
      <w:ind w:firstLineChars="200" w:firstLine="420"/>
    </w:pPr>
  </w:style>
  <w:style w:type="paragraph" w:customStyle="1" w:styleId="17">
    <w:name w:val="17"/>
    <w:basedOn w:val="a"/>
    <w:qFormat/>
    <w:rsid w:val="00C3337C"/>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link w:val="3"/>
    <w:qFormat/>
    <w:rsid w:val="00C3337C"/>
    <w:rPr>
      <w:rFonts w:ascii="仿宋_GB2312" w:eastAsia="仿宋_GB2312"/>
      <w:sz w:val="32"/>
    </w:rPr>
  </w:style>
  <w:style w:type="character" w:customStyle="1" w:styleId="30">
    <w:name w:val="正文文本缩进 3 字符"/>
    <w:basedOn w:val="a0"/>
    <w:uiPriority w:val="99"/>
    <w:semiHidden/>
    <w:qFormat/>
    <w:rsid w:val="00C3337C"/>
    <w:rPr>
      <w:sz w:val="16"/>
      <w:szCs w:val="16"/>
    </w:rPr>
  </w:style>
  <w:style w:type="character" w:customStyle="1" w:styleId="Char1">
    <w:name w:val="页眉 Char"/>
    <w:basedOn w:val="a0"/>
    <w:link w:val="a5"/>
    <w:uiPriority w:val="99"/>
    <w:qFormat/>
    <w:rsid w:val="00C3337C"/>
    <w:rPr>
      <w:sz w:val="18"/>
      <w:szCs w:val="18"/>
    </w:rPr>
  </w:style>
  <w:style w:type="character" w:customStyle="1" w:styleId="Char0">
    <w:name w:val="页脚 Char"/>
    <w:basedOn w:val="a0"/>
    <w:link w:val="a4"/>
    <w:uiPriority w:val="99"/>
    <w:qFormat/>
    <w:rsid w:val="00C3337C"/>
    <w:rPr>
      <w:sz w:val="18"/>
      <w:szCs w:val="18"/>
    </w:rPr>
  </w:style>
  <w:style w:type="character" w:customStyle="1" w:styleId="HTMLChar">
    <w:name w:val="HTML 预设格式 Char"/>
    <w:basedOn w:val="a0"/>
    <w:link w:val="HTML"/>
    <w:uiPriority w:val="99"/>
    <w:semiHidden/>
    <w:qFormat/>
    <w:rsid w:val="00C3337C"/>
    <w:rPr>
      <w:rFonts w:ascii="宋体" w:eastAsia="宋体" w:hAnsi="宋体" w:cs="宋体"/>
      <w:kern w:val="0"/>
      <w:sz w:val="24"/>
      <w:szCs w:val="24"/>
    </w:rPr>
  </w:style>
  <w:style w:type="character" w:customStyle="1" w:styleId="Char">
    <w:name w:val="批注框文本 Char"/>
    <w:basedOn w:val="a0"/>
    <w:link w:val="a3"/>
    <w:uiPriority w:val="99"/>
    <w:semiHidden/>
    <w:qFormat/>
    <w:rsid w:val="00C3337C"/>
    <w:rPr>
      <w:sz w:val="18"/>
      <w:szCs w:val="18"/>
    </w:rPr>
  </w:style>
  <w:style w:type="paragraph" w:customStyle="1" w:styleId="Default">
    <w:name w:val="Default"/>
    <w:qFormat/>
    <w:rsid w:val="00C3337C"/>
    <w:pPr>
      <w:widowControl w:val="0"/>
      <w:autoSpaceDE w:val="0"/>
      <w:autoSpaceDN w:val="0"/>
      <w:adjustRightInd w:val="0"/>
    </w:pPr>
    <w:rPr>
      <w:rFonts w:ascii="仿宋" w:eastAsia="仿宋" w:hAnsi="Times New Roman"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58AA24-0DA6-4929-8F67-4F1FC032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142</Words>
  <Characters>812</Characters>
  <Application>Microsoft Office Word</Application>
  <DocSecurity>0</DocSecurity>
  <Lines>6</Lines>
  <Paragraphs>1</Paragraphs>
  <ScaleCrop>false</ScaleCrop>
  <Company>china</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市场监管总局关于开展口罩产品质量监督专项抽查有关工作的通知</dc:title>
  <dc:creator>USER</dc:creator>
  <cp:lastModifiedBy>gengzaixinS-14268</cp:lastModifiedBy>
  <cp:revision>130</cp:revision>
  <cp:lastPrinted>2020-02-05T02:38:00Z</cp:lastPrinted>
  <dcterms:created xsi:type="dcterms:W3CDTF">2020-02-01T14:27:00Z</dcterms:created>
  <dcterms:modified xsi:type="dcterms:W3CDTF">2022-03-03T07:00:00Z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