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（2021年第34号）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根据《医疗器械监督管理条例》、《医疗器械网络销售监督管理办法》的规定，三门峡市柯玮眼镜有限公司、三门峡易明有限公司提交资料符合备案相关要求，予以备案（见附件）。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2021年12月16日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附件：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医疗器械网络销售备案信息表（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三门峡柯玮眼镜有限公司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）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医疗器械网络销售备案信息表（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三门峡市易明眼镜有限公司）</w:t>
      </w: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146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  <w:t>三门峡柯玮眼镜有限公司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三门峡市湖滨区黄河路北八街坊一层（市二中对面）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91411202MA3X5P7967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三门峡市湖滨区黄河路北八街坊一层（市二中对面）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豫三食药监经营许20170004号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原分类目录：第三类：6822医用光学器具、仪器及内窥镜设备（仅限角膜接触镜及护理用液）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新分类目录：第三类：16眼科器械（仅限就没接触镜及护理用液）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柯玮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柯玮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北京三快科技有限公司（美团网）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（沪）网械平台备字（2018）第00004号</w:t>
            </w:r>
          </w:p>
        </w:tc>
      </w:tr>
    </w:tbl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18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  <w:t>三门峡市易明眼镜有限公司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河南省三门峡市湖滨区黄河路与大岭路交叉口器材厂1号楼2门面房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91411202MA9H284W9M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河南省三门峡市湖滨区黄河路与大岭路交叉口器材厂1号楼2门面房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豫三食药监经营许20210114号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1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原分类目录：第三类：6822医用光学器具、仪器及内窥镜设备（仅限角膜接触镜及护理用液）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新分类目录：第三类：16眼科器械（仅限就没接触镜及护理用液）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柯  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北京三快科技有限公司（美团网）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（沪）网械平台备字（2018）第00004号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C68F0"/>
    <w:multiLevelType w:val="singleLevel"/>
    <w:tmpl w:val="F79C68F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6217CFA"/>
    <w:rsid w:val="08C93787"/>
    <w:rsid w:val="09CB146A"/>
    <w:rsid w:val="0A21765F"/>
    <w:rsid w:val="10376470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4482D50"/>
    <w:rsid w:val="251E7AF0"/>
    <w:rsid w:val="272B0448"/>
    <w:rsid w:val="2B2D23C0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72CC4"/>
    <w:rsid w:val="369C6DA9"/>
    <w:rsid w:val="3A085379"/>
    <w:rsid w:val="3B8A642F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53651681"/>
    <w:rsid w:val="53B84782"/>
    <w:rsid w:val="54D651D3"/>
    <w:rsid w:val="57520D34"/>
    <w:rsid w:val="580E1B14"/>
    <w:rsid w:val="5A725E7A"/>
    <w:rsid w:val="5AC65628"/>
    <w:rsid w:val="5B0B1334"/>
    <w:rsid w:val="5BC665AA"/>
    <w:rsid w:val="634A7517"/>
    <w:rsid w:val="66A56FDD"/>
    <w:rsid w:val="67836DC0"/>
    <w:rsid w:val="69166EA8"/>
    <w:rsid w:val="69171EDD"/>
    <w:rsid w:val="69996D05"/>
    <w:rsid w:val="6A1E1802"/>
    <w:rsid w:val="6D142332"/>
    <w:rsid w:val="6D4F47B6"/>
    <w:rsid w:val="6E203F44"/>
    <w:rsid w:val="6EC03F4C"/>
    <w:rsid w:val="6F5E1A2C"/>
    <w:rsid w:val="702E0741"/>
    <w:rsid w:val="70432CBE"/>
    <w:rsid w:val="7A0C2680"/>
    <w:rsid w:val="7D48017D"/>
    <w:rsid w:val="7E5271AC"/>
    <w:rsid w:val="7E64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</TotalTime>
  <ScaleCrop>false</ScaleCrop>
  <LinksUpToDate>false</LinksUpToDate>
  <CharactersWithSpaces>1261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2021-12-21T08:21:30Z</cp:lastPrinted>
  <dcterms:modified xsi:type="dcterms:W3CDTF">2021-12-21T08:23:17Z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