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</w:t>
      </w:r>
      <w:bookmarkStart w:id="0" w:name="_GoBack"/>
      <w:bookmarkEnd w:id="0"/>
      <w:r>
        <w:rPr>
          <w:rFonts w:hint="eastAsia" w:ascii="文星标宋" w:hAnsi="文星标宋" w:eastAsia="文星标宋" w:cs="文星标宋"/>
          <w:sz w:val="44"/>
          <w:szCs w:val="44"/>
        </w:rPr>
        <w:t>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义马爱心店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91411281MA9GKR1M7G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河南省三门峡市义马市珠江路与香山街交叉口8栋2号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豫三食药监械经营备20210065号    </w:t>
            </w:r>
          </w:p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豫三食药监械经营许20210067号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6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原分类目录：第三类：6815注射穿刺器械，6825医用高频仪器设备,6854手术室、急救室、诊疗室设备及器具，6865医用缝合材料及粘合剂，6866医用高分子材料及制品</w:t>
            </w:r>
          </w:p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新分类目录：第三类:01有源手术器械，02无源手术器械，08呼吸、麻醉和急救器械，09物理治疗器械，10输血、透析和体外循环器械,14注输、护理和防护器械，18妇产科、辅助生殖和避孕器械，22临床检验器械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B615E"/>
    <w:rsid w:val="00EC55BA"/>
    <w:rsid w:val="024D6893"/>
    <w:rsid w:val="02F21311"/>
    <w:rsid w:val="050A1FF9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5E4F308D"/>
    <w:rsid w:val="66A56FDD"/>
    <w:rsid w:val="67836DC0"/>
    <w:rsid w:val="69996D05"/>
    <w:rsid w:val="6A1E1802"/>
    <w:rsid w:val="6C296AA0"/>
    <w:rsid w:val="6D142332"/>
    <w:rsid w:val="6E203F44"/>
    <w:rsid w:val="6EC03F4C"/>
    <w:rsid w:val="702E0741"/>
    <w:rsid w:val="7A8F0DE4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186</Words>
  <Characters>1061</Characters>
  <Lines>8</Lines>
  <Paragraphs>2</Paragraphs>
  <TotalTime>2</TotalTime>
  <ScaleCrop>false</ScaleCrop>
  <LinksUpToDate>false</LinksUpToDate>
  <CharactersWithSpaces>1245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2021-12-06T03:12:00Z</cp:lastPrinted>
  <dcterms:modified xsi:type="dcterms:W3CDTF">2021-12-09T08:27:41Z</dcterms:modified>
  <dc:title>医疗器械网络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E5C8F949B5DB4766ADAC11447C226674</vt:lpwstr>
  </property>
</Properties>
</file>