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 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一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、餐饮食品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抽检依据</w:t>
      </w:r>
    </w:p>
    <w:p>
      <w:pPr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抽检依据《食品安全国家标准 </w:t>
      </w:r>
      <w:r>
        <w:rPr>
          <w:rFonts w:hint="eastAsia" w:ascii="仿宋_GB2312" w:hAnsi="Verdana" w:eastAsia="仿宋_GB2312" w:cs="Verdana"/>
          <w:color w:val="333333"/>
          <w:sz w:val="32"/>
          <w:szCs w:val="32"/>
          <w:shd w:val="clear" w:color="auto" w:fill="FFFFFF"/>
        </w:rPr>
        <w:t>食品添加剂使用标准</w:t>
      </w:r>
      <w:r>
        <w:rPr>
          <w:rFonts w:hint="eastAsia" w:ascii="仿宋_GB2312" w:hAnsi="仿宋" w:eastAsia="仿宋_GB2312" w:cs="仿宋"/>
          <w:sz w:val="32"/>
          <w:szCs w:val="32"/>
        </w:rPr>
        <w:t>》（GB 2760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 食品中污染物限量》（GB 2762-20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 食品中真菌毒素限量》（GB 276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）、《食品安全国家标准 消毒餐（饮）具》（GB 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14934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）、《食品安全国家标准》（GB 27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（二）检验项目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1.油炸面制品抽检项目包括铝的残留量(干样品，以Al计)。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.发酵面制品抽检项目包括苯甲酸及其钠盐（以苯甲酸计）、山梨酸及其钾盐（以山梨酸计）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1976B58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125</Words>
  <Characters>717</Characters>
  <Lines>5</Lines>
  <Paragraphs>1</Paragraphs>
  <ScaleCrop>false</ScaleCrop>
  <LinksUpToDate>false</LinksUpToDate>
  <CharactersWithSpaces>841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2021-11-11T02:22:43Z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