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C5" w:rsidRDefault="004C27C5" w:rsidP="004C27C5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三门峡市市场监督管理局</w:t>
      </w:r>
    </w:p>
    <w:p w:rsidR="004C27C5" w:rsidRDefault="004C27C5" w:rsidP="004C27C5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行政相对人违法风险提示告知书</w:t>
      </w:r>
    </w:p>
    <w:p w:rsidR="004C27C5" w:rsidRDefault="004C27C5" w:rsidP="004C27C5">
      <w:pPr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C27C5" w:rsidRDefault="004C27C5" w:rsidP="004C27C5">
      <w:pPr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广大生产经营单位和个人：</w:t>
      </w:r>
    </w:p>
    <w:p w:rsidR="004C27C5" w:rsidRDefault="004C27C5" w:rsidP="004C27C5">
      <w:pPr>
        <w:spacing w:line="5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为进一步推进服务型行政执法建设，优化营商环境，市市场监督管理局在广泛征求意见的基础上，结合执法实践，梳理出《三门峡市市场监督管理局行政相对人违法风险及防控措施(第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一批》，以便广大生产经营单位和个人及时了解、主动防控、合理规避风险。请您仔细阅读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本风险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提示告知书，了解生产经营活动中存在的有关风险，有效预防、规范经营。具体风险点包括：</w:t>
      </w:r>
    </w:p>
    <w:p w:rsidR="004C27C5" w:rsidRDefault="004C27C5" w:rsidP="004C27C5">
      <w:pPr>
        <w:spacing w:line="5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>
        <w:rPr>
          <w:rFonts w:ascii="仿宋_GB2312" w:eastAsia="仿宋_GB2312" w:hAnsi="仿宋_GB2312" w:cs="仿宋_GB2312"/>
          <w:sz w:val="32"/>
          <w:szCs w:val="32"/>
        </w:rPr>
        <w:t>使用绝对化用语做广告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4C27C5" w:rsidRDefault="004C27C5" w:rsidP="004C27C5">
      <w:pPr>
        <w:spacing w:line="5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>
        <w:rPr>
          <w:rFonts w:ascii="仿宋_GB2312" w:eastAsia="仿宋_GB2312" w:hAnsi="仿宋_GB2312" w:cs="仿宋_GB2312"/>
          <w:sz w:val="32"/>
          <w:szCs w:val="32"/>
        </w:rPr>
        <w:t>在生产、销售的产品中掺杂掺假，以假充真，以次充好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4C27C5" w:rsidRDefault="004C27C5" w:rsidP="004C27C5">
      <w:pPr>
        <w:spacing w:line="5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</w:t>
      </w:r>
      <w:r>
        <w:rPr>
          <w:rFonts w:ascii="仿宋_GB2312" w:eastAsia="仿宋_GB2312" w:hAnsi="仿宋_GB2312" w:cs="仿宋_GB2312"/>
          <w:sz w:val="32"/>
          <w:szCs w:val="32"/>
        </w:rPr>
        <w:t>特种设备超期未检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4C27C5" w:rsidRDefault="004C27C5" w:rsidP="004C27C5">
      <w:pPr>
        <w:spacing w:line="5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</w:t>
      </w:r>
      <w:r>
        <w:rPr>
          <w:rFonts w:ascii="仿宋_GB2312" w:eastAsia="仿宋_GB2312" w:hAnsi="仿宋_GB2312" w:cs="仿宋_GB2312"/>
          <w:sz w:val="32"/>
          <w:szCs w:val="32"/>
        </w:rPr>
        <w:t>生产经营超范围、超限量使用食品添加剂的食品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4C27C5" w:rsidRDefault="004C27C5" w:rsidP="004C27C5">
      <w:pPr>
        <w:spacing w:line="5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</w:t>
      </w:r>
      <w:r>
        <w:rPr>
          <w:rFonts w:ascii="仿宋_GB2312" w:eastAsia="仿宋_GB2312" w:hAnsi="仿宋_GB2312" w:cs="仿宋_GB2312"/>
          <w:sz w:val="32"/>
          <w:szCs w:val="32"/>
        </w:rPr>
        <w:t>属于强制检定管理的计量器具，未按照有关规定实施强制检定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4C27C5" w:rsidRDefault="004C27C5" w:rsidP="004C27C5">
      <w:pPr>
        <w:spacing w:line="5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</w:t>
      </w:r>
      <w:r>
        <w:rPr>
          <w:rFonts w:ascii="仿宋_GB2312" w:eastAsia="仿宋_GB2312" w:hAnsi="仿宋_GB2312" w:cs="仿宋_GB2312"/>
          <w:sz w:val="32"/>
          <w:szCs w:val="32"/>
        </w:rPr>
        <w:t>假冒专利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4C27C5" w:rsidRDefault="004C27C5" w:rsidP="004C27C5">
      <w:pPr>
        <w:spacing w:line="5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</w:t>
      </w:r>
      <w:r>
        <w:rPr>
          <w:rFonts w:ascii="仿宋_GB2312" w:eastAsia="仿宋_GB2312" w:hAnsi="仿宋_GB2312" w:cs="仿宋_GB2312"/>
          <w:sz w:val="32"/>
          <w:szCs w:val="32"/>
        </w:rPr>
        <w:t>利用虚假的或者使人误解的价格手段，诱骗消费者或者其他经营者与其进行交易的价格违法行为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4C27C5" w:rsidRDefault="004C27C5" w:rsidP="004C27C5">
      <w:pPr>
        <w:spacing w:line="5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</w:t>
      </w:r>
      <w:r>
        <w:rPr>
          <w:rFonts w:ascii="仿宋_GB2312" w:eastAsia="仿宋_GB2312" w:hAnsi="仿宋_GB2312" w:cs="仿宋_GB2312"/>
          <w:sz w:val="32"/>
          <w:szCs w:val="32"/>
        </w:rPr>
        <w:t>药品零售企业在执业药师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在岗时销售处方药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4C27C5" w:rsidRDefault="004C27C5" w:rsidP="004C27C5">
      <w:pPr>
        <w:spacing w:line="5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</w:t>
      </w:r>
      <w:r>
        <w:rPr>
          <w:rFonts w:ascii="仿宋_GB2312" w:eastAsia="仿宋_GB2312" w:hAnsi="仿宋_GB2312" w:cs="仿宋_GB2312"/>
          <w:sz w:val="32"/>
          <w:szCs w:val="32"/>
        </w:rPr>
        <w:t>药品经营企业违反《药品经营质量管理规范》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4C27C5" w:rsidRDefault="004C27C5" w:rsidP="004C27C5">
      <w:pPr>
        <w:spacing w:line="5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十、</w:t>
      </w:r>
      <w:r>
        <w:rPr>
          <w:rFonts w:ascii="仿宋_GB2312" w:eastAsia="仿宋_GB2312" w:hAnsi="仿宋_GB2312" w:cs="仿宋_GB2312"/>
          <w:sz w:val="32"/>
          <w:szCs w:val="32"/>
        </w:rPr>
        <w:t>无照经营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C27C5" w:rsidRDefault="004C27C5" w:rsidP="004C27C5">
      <w:pPr>
        <w:spacing w:line="500" w:lineRule="exact"/>
        <w:ind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</w:p>
    <w:p w:rsidR="00CC4423" w:rsidRDefault="00CC4423"/>
    <w:sectPr w:rsidR="00CC4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F8C" w:rsidRDefault="00254F8C" w:rsidP="004C27C5">
      <w:r>
        <w:separator/>
      </w:r>
    </w:p>
  </w:endnote>
  <w:endnote w:type="continuationSeparator" w:id="0">
    <w:p w:rsidR="00254F8C" w:rsidRDefault="00254F8C" w:rsidP="004C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F8C" w:rsidRDefault="00254F8C" w:rsidP="004C27C5">
      <w:r>
        <w:separator/>
      </w:r>
    </w:p>
  </w:footnote>
  <w:footnote w:type="continuationSeparator" w:id="0">
    <w:p w:rsidR="00254F8C" w:rsidRDefault="00254F8C" w:rsidP="004C2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07"/>
    <w:rsid w:val="00254F8C"/>
    <w:rsid w:val="004C27C5"/>
    <w:rsid w:val="00941907"/>
    <w:rsid w:val="00C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7C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2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4C27C5"/>
    <w:rPr>
      <w:kern w:val="2"/>
      <w:sz w:val="18"/>
      <w:szCs w:val="18"/>
    </w:rPr>
  </w:style>
  <w:style w:type="paragraph" w:styleId="a4">
    <w:name w:val="footer"/>
    <w:basedOn w:val="a"/>
    <w:link w:val="Char0"/>
    <w:rsid w:val="004C27C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4C27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7C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2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4C27C5"/>
    <w:rPr>
      <w:kern w:val="2"/>
      <w:sz w:val="18"/>
      <w:szCs w:val="18"/>
    </w:rPr>
  </w:style>
  <w:style w:type="paragraph" w:styleId="a4">
    <w:name w:val="footer"/>
    <w:basedOn w:val="a"/>
    <w:link w:val="Char0"/>
    <w:rsid w:val="004C27C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4C27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WwW.YlmF.CoM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2021-10-20T09:11:00Z</dcterms:created>
  <dcterms:modified xsi:type="dcterms:W3CDTF">2021-10-20T09:11:00Z</dcterms:modified>
</cp:coreProperties>
</file>