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仿宋_GB2312" w:hAnsi="仿宋_GB2312" w:eastAsia="仿宋_GB2312" w:cs="仿宋_GB2312"/>
          <w:b w:val="0"/>
          <w:bCs w:val="0"/>
          <w:kern w:val="2"/>
          <w:sz w:val="28"/>
          <w:szCs w:val="28"/>
          <w:lang w:val="en-US" w:eastAsia="zh-CN" w:bidi="ar-SA"/>
        </w:rPr>
      </w:pPr>
      <w:r>
        <w:rPr>
          <w:rFonts w:hint="eastAsia" w:ascii="文星标宋" w:hAnsi="文星标宋" w:eastAsia="文星标宋" w:cs="文星标宋"/>
          <w:b w:val="0"/>
          <w:bCs w:val="0"/>
          <w:sz w:val="44"/>
          <w:szCs w:val="44"/>
          <w:lang w:val="en-US" w:eastAsia="zh-CN"/>
        </w:rPr>
        <w:t>医疗器械网络销售信息表</w:t>
      </w:r>
    </w:p>
    <w:tbl>
      <w:tblPr>
        <w:tblStyle w:val="8"/>
        <w:tblpPr w:leftFromText="180" w:rightFromText="180" w:vertAnchor="page" w:horzAnchor="page" w:tblpX="1248" w:tblpY="2377"/>
        <w:tblOverlap w:val="never"/>
        <w:tblW w:w="9819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outset" w:color="auto" w:sz="6" w:space="0"/>
          <w:insideV w:val="outset" w:color="auto" w:sz="6" w:space="0"/>
        </w:tblBorders>
        <w:shd w:val="clear" w:color="auto" w:fill="auto"/>
        <w:tblLayout w:type="fixed"/>
        <w:tblCellMar>
          <w:top w:w="0" w:type="dxa"/>
          <w:left w:w="105" w:type="dxa"/>
          <w:bottom w:w="0" w:type="dxa"/>
          <w:right w:w="105" w:type="dxa"/>
        </w:tblCellMar>
      </w:tblPr>
      <w:tblGrid>
        <w:gridCol w:w="1638"/>
        <w:gridCol w:w="997"/>
        <w:gridCol w:w="1926"/>
        <w:gridCol w:w="5258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trHeight w:val="540" w:hRule="atLeast"/>
        </w:trPr>
        <w:tc>
          <w:tcPr>
            <w:tcW w:w="163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  <w:t>医疗器械</w:t>
            </w:r>
          </w:p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  <w:t>网络</w:t>
            </w:r>
          </w:p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  <w:t>销售类型</w:t>
            </w:r>
          </w:p>
        </w:tc>
        <w:tc>
          <w:tcPr>
            <w:tcW w:w="8181" w:type="dxa"/>
            <w:gridSpan w:val="3"/>
            <w:tcBorders>
              <w:top w:val="single" w:color="auto" w:sz="6" w:space="0"/>
              <w:left w:val="nil"/>
              <w:bottom w:val="single" w:color="auto" w:sz="6" w:space="0"/>
              <w:right w:val="single" w:color="000000" w:sz="6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widowControl/>
              <w:suppressLineNumbers w:val="0"/>
              <w:spacing w:before="0" w:beforeAutospacing="0" w:after="0" w:afterAutospacing="0" w:line="315" w:lineRule="atLeast"/>
              <w:ind w:left="0" w:right="0" w:firstLine="105"/>
              <w:jc w:val="center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入驻类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trHeight w:val="435" w:hRule="atLeast"/>
        </w:trPr>
        <w:tc>
          <w:tcPr>
            <w:tcW w:w="1638" w:type="dxa"/>
            <w:vMerge w:val="restart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  <w:t>主  体</w:t>
            </w:r>
          </w:p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  <w:t>信  息</w:t>
            </w:r>
          </w:p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</w:pPr>
          </w:p>
        </w:tc>
        <w:tc>
          <w:tcPr>
            <w:tcW w:w="997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  <w:t>企业</w:t>
            </w:r>
          </w:p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  <w:t>名称</w:t>
            </w:r>
          </w:p>
        </w:tc>
        <w:tc>
          <w:tcPr>
            <w:tcW w:w="7184" w:type="dxa"/>
            <w:gridSpan w:val="2"/>
            <w:tcBorders>
              <w:top w:val="single" w:color="auto" w:sz="6" w:space="0"/>
              <w:left w:val="nil"/>
              <w:bottom w:val="single" w:color="auto" w:sz="6" w:space="0"/>
              <w:right w:val="single" w:color="000000" w:sz="6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widowControl/>
              <w:suppressLineNumbers w:val="0"/>
              <w:spacing w:before="0" w:beforeAutospacing="0" w:after="0" w:afterAutospacing="0" w:line="315" w:lineRule="atLeast"/>
              <w:ind w:left="0" w:leftChars="0" w:right="0" w:rightChars="0" w:firstLine="105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  <w:t>河南宜致大药房有限公司壹号城邦店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trHeight w:val="637" w:hRule="atLeast"/>
        </w:trPr>
        <w:tc>
          <w:tcPr>
            <w:tcW w:w="1638" w:type="dxa"/>
            <w:vMerge w:val="continue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</w:pPr>
          </w:p>
        </w:tc>
        <w:tc>
          <w:tcPr>
            <w:tcW w:w="997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  <w:t>住  所</w:t>
            </w:r>
          </w:p>
        </w:tc>
        <w:tc>
          <w:tcPr>
            <w:tcW w:w="7184" w:type="dxa"/>
            <w:gridSpan w:val="2"/>
            <w:tcBorders>
              <w:top w:val="nil"/>
              <w:left w:val="nil"/>
              <w:bottom w:val="single" w:color="auto" w:sz="6" w:space="0"/>
              <w:right w:val="single" w:color="000000" w:sz="6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widowControl/>
              <w:suppressLineNumbers w:val="0"/>
              <w:spacing w:before="0" w:beforeAutospacing="0" w:after="0" w:afterAutospacing="0" w:line="315" w:lineRule="atLeast"/>
              <w:ind w:left="0" w:leftChars="0" w:right="0" w:rightChars="0" w:firstLine="105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/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trHeight w:val="450" w:hRule="atLeast"/>
        </w:trPr>
        <w:tc>
          <w:tcPr>
            <w:tcW w:w="1638" w:type="dxa"/>
            <w:vMerge w:val="continue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</w:pPr>
          </w:p>
        </w:tc>
        <w:tc>
          <w:tcPr>
            <w:tcW w:w="997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  <w:t>社会信用代码</w:t>
            </w:r>
          </w:p>
        </w:tc>
        <w:tc>
          <w:tcPr>
            <w:tcW w:w="7184" w:type="dxa"/>
            <w:gridSpan w:val="2"/>
            <w:tcBorders>
              <w:top w:val="nil"/>
              <w:left w:val="nil"/>
              <w:bottom w:val="single" w:color="auto" w:sz="6" w:space="0"/>
              <w:right w:val="single" w:color="000000" w:sz="6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widowControl/>
              <w:suppressLineNumbers w:val="0"/>
              <w:spacing w:before="0" w:beforeAutospacing="0" w:after="0" w:afterAutospacing="0" w:line="315" w:lineRule="atLeast"/>
              <w:ind w:left="0" w:leftChars="0" w:right="0" w:rightChars="0" w:firstLine="105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91411202MA9GB47118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trHeight w:val="450" w:hRule="atLeast"/>
        </w:trPr>
        <w:tc>
          <w:tcPr>
            <w:tcW w:w="1638" w:type="dxa"/>
            <w:vMerge w:val="continue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</w:pPr>
          </w:p>
        </w:tc>
        <w:tc>
          <w:tcPr>
            <w:tcW w:w="997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  <w:t>经营</w:t>
            </w:r>
          </w:p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  <w:t>场所</w:t>
            </w:r>
          </w:p>
        </w:tc>
        <w:tc>
          <w:tcPr>
            <w:tcW w:w="7184" w:type="dxa"/>
            <w:gridSpan w:val="2"/>
            <w:tcBorders>
              <w:top w:val="nil"/>
              <w:left w:val="nil"/>
              <w:bottom w:val="single" w:color="auto" w:sz="6" w:space="0"/>
              <w:right w:val="single" w:color="000000" w:sz="6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widowControl/>
              <w:suppressLineNumbers w:val="0"/>
              <w:spacing w:before="0" w:beforeAutospacing="0" w:after="0" w:afterAutospacing="0" w:line="315" w:lineRule="atLeast"/>
              <w:ind w:left="0" w:leftChars="0" w:right="0" w:rightChars="0" w:firstLine="105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  <w:t>河南省三门峡市湖滨区前进街道黄河路建业壹号城邦1号楼底层商铺104号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trHeight w:val="450" w:hRule="atLeast"/>
        </w:trPr>
        <w:tc>
          <w:tcPr>
            <w:tcW w:w="1638" w:type="dxa"/>
            <w:vMerge w:val="continue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</w:pPr>
          </w:p>
        </w:tc>
        <w:tc>
          <w:tcPr>
            <w:tcW w:w="997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  <w:t>库房</w:t>
            </w:r>
          </w:p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  <w:t>地址</w:t>
            </w:r>
          </w:p>
        </w:tc>
        <w:tc>
          <w:tcPr>
            <w:tcW w:w="7184" w:type="dxa"/>
            <w:gridSpan w:val="2"/>
            <w:tcBorders>
              <w:top w:val="nil"/>
              <w:left w:val="nil"/>
              <w:bottom w:val="single" w:color="auto" w:sz="6" w:space="0"/>
              <w:right w:val="single" w:color="000000" w:sz="6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widowControl/>
              <w:suppressLineNumbers w:val="0"/>
              <w:spacing w:before="0" w:beforeAutospacing="0" w:after="0" w:afterAutospacing="0" w:line="315" w:lineRule="atLeast"/>
              <w:ind w:left="0" w:leftChars="0" w:right="0" w:rightChars="0" w:firstLine="105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/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trHeight w:val="605" w:hRule="atLeast"/>
        </w:trPr>
        <w:tc>
          <w:tcPr>
            <w:tcW w:w="1638" w:type="dxa"/>
            <w:vMerge w:val="continue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</w:pPr>
          </w:p>
        </w:tc>
        <w:tc>
          <w:tcPr>
            <w:tcW w:w="997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  <w:t>主体</w:t>
            </w:r>
          </w:p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  <w:t>业态</w:t>
            </w:r>
          </w:p>
        </w:tc>
        <w:tc>
          <w:tcPr>
            <w:tcW w:w="7184" w:type="dxa"/>
            <w:gridSpan w:val="2"/>
            <w:tcBorders>
              <w:top w:val="nil"/>
              <w:left w:val="nil"/>
              <w:bottom w:val="single" w:color="auto" w:sz="6" w:space="0"/>
              <w:right w:val="single" w:color="000000" w:sz="6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widowControl/>
              <w:suppressLineNumbers w:val="0"/>
              <w:spacing w:before="0" w:beforeAutospacing="0" w:after="0" w:afterAutospacing="0" w:line="315" w:lineRule="atLeast"/>
              <w:ind w:left="0" w:leftChars="0" w:right="0" w:rightChars="0" w:firstLine="105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零售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trHeight w:val="655" w:hRule="atLeast"/>
        </w:trPr>
        <w:tc>
          <w:tcPr>
            <w:tcW w:w="1638" w:type="dxa"/>
            <w:vMerge w:val="continue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</w:pPr>
          </w:p>
        </w:tc>
        <w:tc>
          <w:tcPr>
            <w:tcW w:w="997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  <w:t>医疗器械经营许可证（备案凭证）编号</w:t>
            </w:r>
          </w:p>
        </w:tc>
        <w:tc>
          <w:tcPr>
            <w:tcW w:w="7184" w:type="dxa"/>
            <w:gridSpan w:val="2"/>
            <w:tcBorders>
              <w:top w:val="nil"/>
              <w:left w:val="nil"/>
              <w:bottom w:val="single" w:color="auto" w:sz="6" w:space="0"/>
              <w:right w:val="single" w:color="000000" w:sz="6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widowControl/>
              <w:suppressLineNumbers w:val="0"/>
              <w:spacing w:before="0" w:beforeAutospacing="0" w:after="0" w:afterAutospacing="0" w:line="315" w:lineRule="atLeast"/>
              <w:ind w:left="0" w:right="0" w:firstLine="105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豫三食药监械经营备20210032号</w:t>
            </w:r>
          </w:p>
          <w:p>
            <w:pPr>
              <w:pStyle w:val="7"/>
              <w:keepNext w:val="0"/>
              <w:keepLines w:val="0"/>
              <w:widowControl/>
              <w:suppressLineNumbers w:val="0"/>
              <w:spacing w:before="0" w:beforeAutospacing="0" w:after="0" w:afterAutospacing="0" w:line="315" w:lineRule="atLeast"/>
              <w:ind w:left="0" w:leftChars="0" w:right="0" w:rightChars="0" w:firstLine="105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豫三食药监械经营许20210047号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trHeight w:val="6114" w:hRule="atLeast"/>
        </w:trPr>
        <w:tc>
          <w:tcPr>
            <w:tcW w:w="1638" w:type="dxa"/>
            <w:vMerge w:val="continue"/>
            <w:tcBorders>
              <w:top w:val="nil"/>
              <w:left w:val="single" w:color="auto" w:sz="6" w:space="0"/>
              <w:bottom w:val="single" w:color="auto" w:sz="4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</w:pPr>
          </w:p>
        </w:tc>
        <w:tc>
          <w:tcPr>
            <w:tcW w:w="997" w:type="dxa"/>
            <w:tcBorders>
              <w:top w:val="nil"/>
              <w:left w:val="nil"/>
              <w:bottom w:val="single" w:color="auto" w:sz="4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default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default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  <w:t>经营</w:t>
            </w:r>
          </w:p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default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default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  <w:t>范围</w:t>
            </w:r>
          </w:p>
        </w:tc>
        <w:tc>
          <w:tcPr>
            <w:tcW w:w="7184" w:type="dxa"/>
            <w:gridSpan w:val="2"/>
            <w:tcBorders>
              <w:top w:val="nil"/>
              <w:left w:val="nil"/>
              <w:bottom w:val="single" w:color="auto" w:sz="4" w:space="0"/>
              <w:right w:val="single" w:color="000000" w:sz="6" w:space="0"/>
            </w:tcBorders>
            <w:shd w:val="clear" w:color="auto" w:fill="auto"/>
            <w:vAlign w:val="center"/>
          </w:tcPr>
          <w:p>
            <w:pP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第二类：</w:t>
            </w: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6801基础外科手术器械，6802显微外科手术器械，6803神经外科手术器械，6804眼科手术器械，6805耳鼻喉科手术器械，6806口腔科手术器械，6807胸腔心血管外科手术器械，6808腹部外科手术器械，6809泌尿肛肠外科手术器械，6810矫形外科（骨科）手术器械，6812妇产科用手术器械，6813计划生育手术器械，6815注射穿刺器械，6816烧伤(整形)科手术器械，6820普通诊察器械，6821医用电子仪器设备，6823医用超声仪器及有关设备，6824医用激光仪器设备，6825医用高频仪器</w:t>
            </w:r>
            <w:r>
              <w:rPr>
                <w:rFonts w:hint="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设备，</w:t>
            </w: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6826物理治疗及康复设备，6827中医器械，6828医用磁共振设备，6830医用X射线设备，6831医用X射线附属设备及部件，6832医用高能射线设备，6833医用核素设备，6834医用射线防护用品、装置</w:t>
            </w:r>
            <w:r>
              <w:rPr>
                <w:rFonts w:hint="eastAsia"/>
                <w:color w:val="000000" w:themeColor="text1"/>
                <w:lang w:eastAsia="zh-CN"/>
                <w14:textFill>
                  <w14:solidFill>
                    <w14:schemeClr w14:val="tx1"/>
                  </w14:solidFill>
                </w14:textFill>
              </w:rPr>
              <w:t>，</w:t>
            </w: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6840临床检验分析仪器及诊断试剂（诊断试剂不需低温冷藏运输贮存），6841医用化验和基础设备器具，6845体外循环及血液处理设备</w:t>
            </w:r>
            <w:r>
              <w:rPr>
                <w:rFonts w:hint="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，</w:t>
            </w: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6846植入材料和人工器官，6854手术室、急救室、诊疗室设备及器具，6855口腔科设备及器具，6856病房护理设备及器具，6857消毒和灭菌设备及器具，6858医用冷疗、低温、冷藏设备及器具，6863口腔科材料，6864医用卫生材料及敷料，6865医用缝合材料及粘合剂，6866医用高分子材料及制品，6870软 件</w:t>
            </w:r>
          </w:p>
          <w:p>
            <w:pPr>
              <w:rPr>
                <w:rFonts w:hint="default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/>
              </w:rPr>
              <w:t>第二类：</w:t>
            </w:r>
            <w:r>
              <w:t>01有源手术器械，02无源手术器械，03神经和心血管手术器械，04骨科手术器械，05放射治疗器械，06医用成像器械，07医用诊察和监护器械，08呼吸、麻醉和急救器械，09物理治疗器械，10输血、透析和体外循环器械，11医疗器械消毒灭菌器械，12有源植入器械，14注输、护理和防护器械，15患者承载器械，16眼科器械，17口腔科器械，18妇产科、辅助生殖和避孕器械，19医用康复器械，20中医器械，21医用软件，22临床检验器械</w:t>
            </w:r>
            <w:bookmarkStart w:id="0" w:name="_GoBack"/>
            <w:bookmarkEnd w:id="0"/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trHeight w:val="2031" w:hRule="exact"/>
        </w:trPr>
        <w:tc>
          <w:tcPr>
            <w:tcW w:w="1638" w:type="dxa"/>
            <w:vMerge w:val="restart"/>
            <w:tcBorders>
              <w:top w:val="single" w:color="auto" w:sz="4" w:space="0"/>
              <w:left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  <w:t>主  体</w:t>
            </w:r>
          </w:p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  <w:t>信  息</w:t>
            </w:r>
          </w:p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</w:pPr>
          </w:p>
        </w:tc>
        <w:tc>
          <w:tcPr>
            <w:tcW w:w="99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default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default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  <w:t>经营</w:t>
            </w:r>
          </w:p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default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default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  <w:t>范围</w:t>
            </w:r>
          </w:p>
        </w:tc>
        <w:tc>
          <w:tcPr>
            <w:tcW w:w="718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6" w:space="0"/>
            </w:tcBorders>
            <w:shd w:val="clear" w:color="auto" w:fill="auto"/>
            <w:vAlign w:val="center"/>
          </w:tcPr>
          <w:p>
            <w:r>
              <w:rPr>
                <w:rFonts w:hint="eastAsia"/>
              </w:rPr>
              <w:t>第三类：</w:t>
            </w:r>
            <w:r>
              <w:t>6815注射穿刺器械，6825医用高频仪器设备，6854手术室、急救室、诊疗室设备及器具，6865医用缝合材料及粘合剂，6866医用高分子材料及制品</w:t>
            </w:r>
          </w:p>
          <w:p>
            <w:r>
              <w:rPr>
                <w:rFonts w:hint="eastAsia"/>
              </w:rPr>
              <w:t>第三类：</w:t>
            </w:r>
            <w:r>
              <w:t>01有源手术器械，02无源手术器械，08呼吸、麻醉和急救器械，09物理治疗器械，10输血、透析和体外循环器械，14注输、护理和防护器械，18妇产科、辅助生殖和避孕器械，22临床检验器械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firstLine="440" w:firstLineChars="200"/>
              <w:textAlignment w:val="auto"/>
              <w:rPr>
                <w:rFonts w:hint="eastAsia" w:ascii="仿宋_GB2312" w:eastAsia="仿宋_GB2312" w:cs="仿宋_GB2312"/>
                <w:color w:val="000000"/>
                <w:sz w:val="22"/>
                <w:szCs w:val="22"/>
                <w:lang w:val="en-US" w:eastAsia="zh-CN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trHeight w:val="1314" w:hRule="exact"/>
        </w:trPr>
        <w:tc>
          <w:tcPr>
            <w:tcW w:w="1638" w:type="dxa"/>
            <w:vMerge w:val="continue"/>
            <w:tcBorders>
              <w:left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outlineLvl w:val="9"/>
              <w:rPr>
                <w:rFonts w:hint="eastAsia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</w:pPr>
          </w:p>
        </w:tc>
        <w:tc>
          <w:tcPr>
            <w:tcW w:w="997" w:type="dxa"/>
            <w:tcBorders>
              <w:top w:val="single" w:color="auto" w:sz="4" w:space="0"/>
              <w:left w:val="nil"/>
              <w:bottom w:val="single" w:color="auto" w:sz="6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outlineLvl w:val="9"/>
              <w:rPr>
                <w:rFonts w:hint="default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default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  <w:t>法定代表人</w:t>
            </w:r>
          </w:p>
        </w:tc>
        <w:tc>
          <w:tcPr>
            <w:tcW w:w="718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6" w:space="0"/>
              <w:right w:val="single" w:color="000000" w:sz="6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outlineLvl w:val="9"/>
              <w:rPr>
                <w:rFonts w:hint="eastAsia" w:ascii="仿宋_GB2312" w:eastAsia="仿宋_GB2312" w:cs="仿宋_GB2312" w:hAnsiTheme="minorHAnsi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仿宋_GB2312" w:eastAsia="仿宋_GB2312" w:cs="仿宋_GB2312"/>
                <w:color w:val="000000"/>
                <w:sz w:val="22"/>
                <w:szCs w:val="22"/>
                <w:lang w:val="en-US" w:eastAsia="zh-CN"/>
              </w:rPr>
              <w:t>/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trHeight w:val="1461" w:hRule="exact"/>
        </w:trPr>
        <w:tc>
          <w:tcPr>
            <w:tcW w:w="1638" w:type="dxa"/>
            <w:vMerge w:val="continue"/>
            <w:tcBorders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outlineLvl w:val="9"/>
              <w:rPr>
                <w:rFonts w:hint="eastAsia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</w:pPr>
          </w:p>
        </w:tc>
        <w:tc>
          <w:tcPr>
            <w:tcW w:w="997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default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</w:pPr>
          </w:p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default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</w:pPr>
          </w:p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default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default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  <w:t>企业负责人</w:t>
            </w:r>
          </w:p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default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</w:pPr>
          </w:p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default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</w:pPr>
          </w:p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outlineLvl w:val="9"/>
              <w:rPr>
                <w:rFonts w:hint="default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</w:pPr>
          </w:p>
        </w:tc>
        <w:tc>
          <w:tcPr>
            <w:tcW w:w="7184" w:type="dxa"/>
            <w:gridSpan w:val="2"/>
            <w:tcBorders>
              <w:top w:val="nil"/>
              <w:left w:val="nil"/>
              <w:bottom w:val="single" w:color="auto" w:sz="6" w:space="0"/>
              <w:right w:val="single" w:color="000000" w:sz="6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outlineLvl w:val="9"/>
              <w:rPr>
                <w:rFonts w:hint="eastAsia" w:ascii="仿宋_GB2312" w:eastAsia="仿宋_GB2312" w:cs="仿宋_GB2312" w:hAnsiTheme="minorHAnsi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仿宋_GB2312" w:eastAsia="仿宋_GB2312" w:cs="仿宋_GB2312"/>
                <w:color w:val="000000"/>
                <w:sz w:val="22"/>
                <w:szCs w:val="22"/>
                <w:lang w:val="en-US" w:eastAsia="zh-CN"/>
              </w:rPr>
              <w:t>南晓晓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000000" w:sz="6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trHeight w:val="802" w:hRule="atLeast"/>
        </w:trPr>
        <w:tc>
          <w:tcPr>
            <w:tcW w:w="1638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Calibri" w:hAnsi="Calibri" w:cs="Calibri"/>
                <w:color w:val="000000"/>
                <w:sz w:val="22"/>
                <w:szCs w:val="22"/>
              </w:rPr>
              <w:t>医疗器械网络交易服务第三方平台信息（入驻类）</w:t>
            </w:r>
          </w:p>
        </w:tc>
        <w:tc>
          <w:tcPr>
            <w:tcW w:w="2923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outlineLvl w:val="9"/>
              <w:rPr>
                <w:rFonts w:hint="eastAsia"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hint="eastAsia" w:ascii="Calibri" w:hAnsi="Calibri" w:cs="Calibri"/>
                <w:color w:val="000000"/>
                <w:sz w:val="22"/>
                <w:szCs w:val="22"/>
              </w:rPr>
              <w:t>医疗器械网络交易服务第三方平台名称</w:t>
            </w:r>
          </w:p>
        </w:tc>
        <w:tc>
          <w:tcPr>
            <w:tcW w:w="525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outlineLvl w:val="9"/>
              <w:rPr>
                <w:rFonts w:hint="eastAsia"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hint="eastAsia" w:ascii="Calibri" w:hAnsi="Calibri" w:cs="Calibri"/>
                <w:color w:val="000000"/>
                <w:sz w:val="22"/>
                <w:szCs w:val="22"/>
              </w:rPr>
              <w:t>医疗器械网络交易服务第三方平台备案凭证编号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000000" w:sz="6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trHeight w:val="759" w:hRule="atLeast"/>
        </w:trPr>
        <w:tc>
          <w:tcPr>
            <w:tcW w:w="1638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2923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widowControl/>
              <w:suppressLineNumbers w:val="0"/>
              <w:spacing w:before="0" w:beforeAutospacing="0" w:after="0" w:afterAutospacing="0" w:line="315" w:lineRule="atLeast"/>
              <w:ind w:left="0" w:leftChars="0" w:right="0" w:rightChars="0" w:firstLine="105" w:firstLineChars="0"/>
              <w:jc w:val="center"/>
              <w:rPr>
                <w:rFonts w:hint="default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HAnsi" w:hAnsiTheme="minorHAnsi" w:eastAsiaTheme="minorEastAsia" w:cstheme="minorBidi"/>
                <w:color w:val="000000" w:themeColor="text1"/>
                <w:kern w:val="2"/>
                <w:sz w:val="21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深圳百寿健康信息技术有限公司（百寿健康）</w:t>
            </w:r>
          </w:p>
        </w:tc>
        <w:tc>
          <w:tcPr>
            <w:tcW w:w="525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HAnsi" w:hAnsiTheme="minorHAnsi" w:eastAsiaTheme="minorEastAsia" w:cstheme="minorBidi"/>
                <w:color w:val="000000" w:themeColor="text1"/>
                <w:kern w:val="2"/>
                <w:sz w:val="21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（粤）网械平台备字（2020）第00014号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000000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trHeight w:val="895" w:hRule="atLeast"/>
        </w:trPr>
        <w:tc>
          <w:tcPr>
            <w:tcW w:w="1638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2923" w:type="dxa"/>
            <w:gridSpan w:val="2"/>
            <w:tcBorders>
              <w:bottom w:val="single" w:color="auto" w:sz="4" w:space="0"/>
              <w:tl2br w:val="nil"/>
              <w:tr2bl w:val="nil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default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</w:pPr>
          </w:p>
        </w:tc>
        <w:tc>
          <w:tcPr>
            <w:tcW w:w="5258" w:type="dxa"/>
            <w:tcBorders>
              <w:bottom w:val="single" w:color="auto" w:sz="4" w:space="0"/>
              <w:tl2br w:val="nil"/>
              <w:tr2bl w:val="nil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000000" w:sz="6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trHeight w:val="912" w:hRule="atLeast"/>
        </w:trPr>
        <w:tc>
          <w:tcPr>
            <w:tcW w:w="1638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2923" w:type="dxa"/>
            <w:gridSpan w:val="2"/>
            <w:tcBorders>
              <w:top w:val="single" w:color="auto" w:sz="4" w:space="0"/>
              <w:tl2br w:val="nil"/>
              <w:tr2bl w:val="nil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default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</w:pPr>
          </w:p>
        </w:tc>
        <w:tc>
          <w:tcPr>
            <w:tcW w:w="5258" w:type="dxa"/>
            <w:tcBorders>
              <w:top w:val="single" w:color="auto" w:sz="4" w:space="0"/>
              <w:tl2br w:val="nil"/>
              <w:tr2bl w:val="nil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</w:tr>
    </w:tbl>
    <w:p>
      <w:pPr>
        <w:jc w:val="center"/>
        <w:rPr>
          <w:rFonts w:hint="eastAsia"/>
          <w:b/>
          <w:bCs/>
          <w:sz w:val="24"/>
          <w:szCs w:val="24"/>
          <w:lang w:val="en-US" w:eastAsia="zh-CN"/>
        </w:rPr>
      </w:pPr>
    </w:p>
    <w:p>
      <w:pPr>
        <w:ind w:firstLine="480" w:firstLineChars="200"/>
        <w:rPr>
          <w:rFonts w:hint="eastAsia" w:ascii="仿宋" w:hAnsi="仿宋" w:eastAsia="仿宋" w:cs="仿宋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ind w:firstLine="480" w:firstLineChars="200"/>
        <w:rPr>
          <w:rFonts w:hint="eastAsia" w:ascii="仿宋" w:hAnsi="仿宋" w:eastAsia="仿宋" w:cs="仿宋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ind w:firstLine="480" w:firstLineChars="200"/>
        <w:rPr>
          <w:rFonts w:hint="eastAsia" w:ascii="仿宋" w:hAnsi="仿宋" w:eastAsia="仿宋" w:cs="仿宋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ind w:firstLine="480" w:firstLineChars="200"/>
        <w:rPr>
          <w:rFonts w:hint="eastAsia" w:ascii="仿宋" w:hAnsi="仿宋" w:eastAsia="仿宋" w:cs="仿宋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ind w:firstLine="480" w:firstLineChars="200"/>
        <w:rPr>
          <w:rFonts w:hint="eastAsia" w:ascii="仿宋" w:hAnsi="仿宋" w:eastAsia="仿宋" w:cs="仿宋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80" w:lineRule="exact"/>
        <w:textAlignment w:val="auto"/>
        <w:rPr>
          <w:rFonts w:hint="eastAsia" w:ascii="仿宋" w:hAnsi="仿宋" w:eastAsia="仿宋" w:cs="仿宋"/>
          <w:sz w:val="24"/>
          <w:szCs w:val="24"/>
        </w:rPr>
      </w:pPr>
    </w:p>
    <w:p>
      <w:pPr>
        <w:pStyle w:val="2"/>
        <w:rPr>
          <w:rFonts w:hint="eastAsia" w:ascii="仿宋" w:hAnsi="仿宋" w:eastAsia="仿宋" w:cs="仿宋"/>
          <w:sz w:val="24"/>
          <w:szCs w:val="24"/>
          <w:lang w:val="en-US" w:eastAsia="zh-CN"/>
        </w:rPr>
      </w:pPr>
    </w:p>
    <w:sectPr>
      <w:pgSz w:w="11906" w:h="16838"/>
      <w:pgMar w:top="1134" w:right="1134" w:bottom="1134" w:left="1134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文星标宋">
    <w:panose1 w:val="02010604000101010101"/>
    <w:charset w:val="86"/>
    <w:family w:val="auto"/>
    <w:pitch w:val="default"/>
    <w:sig w:usb0="00000001" w:usb1="080E0000" w:usb2="00000000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5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24D6893"/>
    <w:rsid w:val="02F21311"/>
    <w:rsid w:val="05EB1AC2"/>
    <w:rsid w:val="08C93787"/>
    <w:rsid w:val="0A21765F"/>
    <w:rsid w:val="0A941CA5"/>
    <w:rsid w:val="117F40FD"/>
    <w:rsid w:val="12177168"/>
    <w:rsid w:val="13504C11"/>
    <w:rsid w:val="14366510"/>
    <w:rsid w:val="144D2C54"/>
    <w:rsid w:val="158F7C42"/>
    <w:rsid w:val="17A92098"/>
    <w:rsid w:val="20716C4C"/>
    <w:rsid w:val="227375EE"/>
    <w:rsid w:val="23B54B08"/>
    <w:rsid w:val="251E7AF0"/>
    <w:rsid w:val="272B0448"/>
    <w:rsid w:val="2CC70D15"/>
    <w:rsid w:val="2DBB26A4"/>
    <w:rsid w:val="2F7E6B9C"/>
    <w:rsid w:val="31015EBC"/>
    <w:rsid w:val="31134E47"/>
    <w:rsid w:val="32035839"/>
    <w:rsid w:val="33F00EA3"/>
    <w:rsid w:val="348C0254"/>
    <w:rsid w:val="369C6DA9"/>
    <w:rsid w:val="3CE460F4"/>
    <w:rsid w:val="404F2A20"/>
    <w:rsid w:val="42B25790"/>
    <w:rsid w:val="43FF06A1"/>
    <w:rsid w:val="48A352BF"/>
    <w:rsid w:val="4B4771C0"/>
    <w:rsid w:val="50BF735E"/>
    <w:rsid w:val="53651681"/>
    <w:rsid w:val="53B84782"/>
    <w:rsid w:val="54D651D3"/>
    <w:rsid w:val="580E1B14"/>
    <w:rsid w:val="66A56FDD"/>
    <w:rsid w:val="67836DC0"/>
    <w:rsid w:val="69996D05"/>
    <w:rsid w:val="6A1E1802"/>
    <w:rsid w:val="6D142332"/>
    <w:rsid w:val="6E203F44"/>
    <w:rsid w:val="6EC03F4C"/>
    <w:rsid w:val="702E0741"/>
    <w:rsid w:val="704B04AC"/>
    <w:rsid w:val="7D4801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4">
    <w:name w:val="heading 5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0"/>
      <w:sz w:val="20"/>
      <w:szCs w:val="20"/>
      <w:lang w:val="en-US" w:eastAsia="zh-CN" w:bidi="ar"/>
    </w:rPr>
  </w:style>
  <w:style w:type="character" w:default="1" w:styleId="10">
    <w:name w:val="Default Paragraph Font"/>
    <w:semiHidden/>
    <w:qFormat/>
    <w:uiPriority w:val="0"/>
  </w:style>
  <w:style w:type="table" w:default="1" w:styleId="8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qFormat/>
    <w:uiPriority w:val="0"/>
    <w:pPr>
      <w:ind w:firstLine="420" w:firstLineChars="200"/>
    </w:pPr>
  </w:style>
  <w:style w:type="paragraph" w:styleId="3">
    <w:name w:val="Body Text Indent"/>
    <w:basedOn w:val="1"/>
    <w:qFormat/>
    <w:uiPriority w:val="0"/>
    <w:pPr>
      <w:spacing w:after="120" w:afterLines="0" w:afterAutospacing="0"/>
      <w:ind w:left="420" w:leftChars="200"/>
    </w:pPr>
  </w:style>
  <w:style w:type="paragraph" w:styleId="5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6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7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9">
    <w:name w:val="Table Grid"/>
    <w:basedOn w:val="8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1">
    <w:name w:val="FollowedHyperlink"/>
    <w:basedOn w:val="10"/>
    <w:qFormat/>
    <w:uiPriority w:val="0"/>
    <w:rPr>
      <w:color w:val="333333"/>
      <w:sz w:val="0"/>
      <w:szCs w:val="0"/>
      <w:u w:val="none"/>
      <w:bdr w:val="single" w:color="D2D2D2" w:sz="6" w:space="0"/>
      <w:shd w:val="clear" w:fill="FFFFFF"/>
    </w:rPr>
  </w:style>
  <w:style w:type="character" w:styleId="12">
    <w:name w:val="Hyperlink"/>
    <w:basedOn w:val="10"/>
    <w:qFormat/>
    <w:uiPriority w:val="0"/>
    <w:rPr>
      <w:color w:val="333333"/>
      <w:u w:val="none"/>
    </w:rPr>
  </w:style>
  <w:style w:type="character" w:customStyle="1" w:styleId="13">
    <w:name w:val="l-btn-icon-left"/>
    <w:basedOn w:val="10"/>
    <w:qFormat/>
    <w:uiPriority w:val="0"/>
  </w:style>
  <w:style w:type="character" w:customStyle="1" w:styleId="14">
    <w:name w:val="l-btn-left"/>
    <w:basedOn w:val="10"/>
    <w:qFormat/>
    <w:uiPriority w:val="0"/>
  </w:style>
  <w:style w:type="character" w:customStyle="1" w:styleId="15">
    <w:name w:val="l-btn-left1"/>
    <w:basedOn w:val="10"/>
    <w:qFormat/>
    <w:uiPriority w:val="0"/>
  </w:style>
  <w:style w:type="character" w:customStyle="1" w:styleId="16">
    <w:name w:val="l-btn-left2"/>
    <w:basedOn w:val="10"/>
    <w:qFormat/>
    <w:uiPriority w:val="0"/>
  </w:style>
  <w:style w:type="character" w:customStyle="1" w:styleId="17">
    <w:name w:val="l-btn-left3"/>
    <w:basedOn w:val="10"/>
    <w:qFormat/>
    <w:uiPriority w:val="0"/>
  </w:style>
  <w:style w:type="character" w:customStyle="1" w:styleId="18">
    <w:name w:val="l-btn-icon-right"/>
    <w:basedOn w:val="10"/>
    <w:qFormat/>
    <w:uiPriority w:val="0"/>
  </w:style>
  <w:style w:type="character" w:customStyle="1" w:styleId="19">
    <w:name w:val="l-btn-text"/>
    <w:basedOn w:val="10"/>
    <w:qFormat/>
    <w:uiPriority w:val="0"/>
    <w:rPr>
      <w:vertAlign w:val="baseline"/>
    </w:rPr>
  </w:style>
  <w:style w:type="character" w:customStyle="1" w:styleId="20">
    <w:name w:val="l-btn-empty"/>
    <w:basedOn w:val="10"/>
    <w:qFormat/>
    <w:uiPriority w:val="0"/>
  </w:style>
  <w:style w:type="character" w:customStyle="1" w:styleId="21">
    <w:name w:val="layui-layer-tabnow"/>
    <w:basedOn w:val="10"/>
    <w:qFormat/>
    <w:uiPriority w:val="0"/>
    <w:rPr>
      <w:bdr w:val="single" w:color="CCCCCC" w:sz="6" w:space="0"/>
      <w:shd w:val="clear" w:fill="FFFFFF"/>
    </w:rPr>
  </w:style>
  <w:style w:type="character" w:customStyle="1" w:styleId="22">
    <w:name w:val="first-child"/>
    <w:basedOn w:val="10"/>
    <w:qFormat/>
    <w:uiPriority w:val="0"/>
  </w:style>
  <w:style w:type="character" w:customStyle="1" w:styleId="23">
    <w:name w:val="hover12"/>
    <w:basedOn w:val="10"/>
    <w:qFormat/>
    <w:uiPriority w:val="0"/>
    <w:rPr>
      <w:shd w:val="clear" w:fill="F3F3F3"/>
    </w:rPr>
  </w:style>
  <w:style w:type="character" w:customStyle="1" w:styleId="24">
    <w:name w:val="hover13"/>
    <w:basedOn w:val="10"/>
    <w:qFormat/>
    <w:uiPriority w:val="0"/>
    <w:rPr>
      <w:sz w:val="21"/>
      <w:szCs w:val="21"/>
    </w:rPr>
  </w:style>
  <w:style w:type="character" w:customStyle="1" w:styleId="25">
    <w:name w:val="hover14"/>
    <w:basedOn w:val="10"/>
    <w:qFormat/>
    <w:uiPriority w:val="0"/>
    <w:rPr>
      <w:shd w:val="clear" w:fill="F3F3F3"/>
    </w:rPr>
  </w:style>
  <w:style w:type="character" w:customStyle="1" w:styleId="26">
    <w:name w:val="l-btn-left4"/>
    <w:basedOn w:val="10"/>
    <w:qFormat/>
    <w:uiPriority w:val="0"/>
  </w:style>
  <w:style w:type="character" w:customStyle="1" w:styleId="27">
    <w:name w:val="l-btn-left5"/>
    <w:basedOn w:val="10"/>
    <w:qFormat/>
    <w:uiPriority w:val="0"/>
  </w:style>
  <w:style w:type="character" w:customStyle="1" w:styleId="28">
    <w:name w:val="hover"/>
    <w:basedOn w:val="10"/>
    <w:qFormat/>
    <w:uiPriority w:val="0"/>
    <w:rPr>
      <w:shd w:val="clear" w:fill="F3F3F3"/>
    </w:rPr>
  </w:style>
  <w:style w:type="character" w:customStyle="1" w:styleId="29">
    <w:name w:val="hover1"/>
    <w:basedOn w:val="10"/>
    <w:qFormat/>
    <w:uiPriority w:val="0"/>
    <w:rPr>
      <w:sz w:val="21"/>
      <w:szCs w:val="21"/>
    </w:rPr>
  </w:style>
  <w:style w:type="character" w:customStyle="1" w:styleId="30">
    <w:name w:val="hover2"/>
    <w:basedOn w:val="10"/>
    <w:qFormat/>
    <w:uiPriority w:val="0"/>
    <w:rPr>
      <w:shd w:val="clear" w:fill="F3F3F3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1010</Words>
  <Characters>1250</Characters>
  <Lines>0</Lines>
  <Paragraphs>0</Paragraphs>
  <TotalTime>0</TotalTime>
  <ScaleCrop>false</ScaleCrop>
  <LinksUpToDate>false</LinksUpToDate>
  <CharactersWithSpaces>1261</CharactersWithSpaces>
  <Application>WPS Office_11.1.0.10938_F1E327BC-269C-435d-A152-05C5408002CA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lenovo097</dc:creator>
  <cp:lastModifiedBy>雨心语馨</cp:lastModifiedBy>
  <cp:lastPrinted>2021-01-11T03:12:00Z</cp:lastPrinted>
  <dcterms:modified xsi:type="dcterms:W3CDTF">2021-10-14T08:20:58Z</dcterms:modified>
  <dc:title>医疗器械网络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2052-11.1.0.10938</vt:lpwstr>
  </property>
  <property fmtid="{D5CDD505-2E9C-101B-9397-08002B2CF9AE}" pid="3" name="ICV">
    <vt:lpwstr>ADD47DE5AF5345BB98150A6CABAD11D1</vt:lpwstr>
  </property>
</Properties>
</file>