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kern w:val="2"/>
          <w:sz w:val="28"/>
          <w:szCs w:val="28"/>
          <w:lang w:val="en-US" w:eastAsia="zh-CN" w:bidi="ar-SA"/>
        </w:rPr>
      </w:pPr>
      <w:r>
        <w:rPr>
          <w:rFonts w:hint="eastAsia" w:ascii="文星标宋" w:hAnsi="文星标宋" w:eastAsia="文星标宋" w:cs="文星标宋"/>
          <w:b w:val="0"/>
          <w:bCs w:val="0"/>
          <w:sz w:val="44"/>
          <w:szCs w:val="44"/>
          <w:lang w:val="en-US" w:eastAsia="zh-CN"/>
        </w:rPr>
        <w:t>医疗器械网络销售信息表</w:t>
      </w:r>
    </w:p>
    <w:tbl>
      <w:tblPr>
        <w:tblStyle w:val="8"/>
        <w:tblpPr w:leftFromText="180" w:rightFromText="180" w:vertAnchor="page" w:horzAnchor="page" w:tblpX="1248" w:tblpY="2377"/>
        <w:tblOverlap w:val="never"/>
        <w:tblW w:w="98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638"/>
        <w:gridCol w:w="997"/>
        <w:gridCol w:w="1926"/>
        <w:gridCol w:w="52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40" w:hRule="atLeast"/>
        </w:trPr>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网络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eastAsiaTheme="minorEastAsia"/>
                <w:color w:val="000000"/>
                <w:kern w:val="0"/>
                <w:sz w:val="22"/>
                <w:szCs w:val="22"/>
                <w:lang w:val="en-US" w:eastAsia="zh-CN" w:bidi="ar"/>
              </w:rPr>
              <w:t>销售类型</w:t>
            </w:r>
          </w:p>
        </w:tc>
        <w:tc>
          <w:tcPr>
            <w:tcW w:w="8181" w:type="dxa"/>
            <w:gridSpan w:val="3"/>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35" w:hRule="atLeast"/>
        </w:trPr>
        <w:tc>
          <w:tcPr>
            <w:tcW w:w="1638" w:type="dxa"/>
            <w:vMerge w:val="restart"/>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名称</w:t>
            </w:r>
          </w:p>
        </w:tc>
        <w:tc>
          <w:tcPr>
            <w:tcW w:w="7184" w:type="dxa"/>
            <w:gridSpan w:val="2"/>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sz w:val="24"/>
                <w:szCs w:val="24"/>
                <w:lang w:val="en-US" w:eastAsia="zh-CN"/>
              </w:rPr>
              <w:t>河南宜致大药房有限公司义马</w:t>
            </w:r>
            <w:r>
              <w:rPr>
                <w:rFonts w:hint="eastAsia" w:ascii="仿宋_GB2312" w:hAnsi="仿宋_GB2312" w:eastAsia="仿宋_GB2312" w:cs="仿宋_GB2312"/>
                <w:color w:val="000000"/>
                <w:sz w:val="24"/>
                <w:szCs w:val="24"/>
                <w:lang w:val="en-US" w:eastAsia="zh-CN"/>
              </w:rPr>
              <w:t>千秋路店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住  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社会信用代码</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sz w:val="24"/>
                <w:szCs w:val="24"/>
                <w:lang w:val="en-US" w:eastAsia="zh-CN"/>
              </w:rPr>
              <w:t>91411281MA9GNDE67B</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场所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eastAsia="zh-CN"/>
              </w:rPr>
              <w:t>河南省三门峡市义马市千秋路街道千秋路与龙山街交叉口机电总厂家属院九号楼2号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库房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地址</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0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业态</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5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医疗器械经营许可证（备案凭证）编号</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豫三食药监械经营备20150136号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114" w:hRule="atLeast"/>
        </w:trPr>
        <w:tc>
          <w:tcPr>
            <w:tcW w:w="1638" w:type="dxa"/>
            <w:vMerge w:val="continue"/>
            <w:tcBorders>
              <w:top w:val="nil"/>
              <w:left w:val="single" w:color="auto" w:sz="6" w:space="0"/>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7184" w:type="dxa"/>
            <w:gridSpan w:val="2"/>
            <w:tcBorders>
              <w:top w:val="nil"/>
              <w:left w:val="nil"/>
              <w:bottom w:val="single" w:color="auto" w:sz="4" w:space="0"/>
              <w:right w:val="single" w:color="000000" w:sz="6"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z w:val="21"/>
                <w:szCs w:val="21"/>
                <w:u w:val="none"/>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6710矫形外科（骨科）手术器械，6712妇产科用手术器械，6813计划生育手术器械，6815注射穿刺器械，6816烧伤（整形）科手术器械，6820普通诊察器械，6821医用电子仪器设备，6823医用超声仪器及有关设备，6824医用激光仪器设备，6825医用高频仪器设备，6826物理诊疗及康复设备，6827中医器械，6828医用磁共振设备，6830医用X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械，6858医用冷疗、低温、冷藏设备及器具，6863口腔科材料，6864医用卫生材料及敷料，6865医用缝合材料及粘合剂，6866医用高分子材料及制品；6870软件。</w:t>
            </w:r>
          </w:p>
          <w:p>
            <w:pPr>
              <w:keepNext w:val="0"/>
              <w:keepLines w:val="0"/>
              <w:widowControl/>
              <w:suppressLineNumbers w:val="0"/>
              <w:ind w:firstLine="420" w:firstLineChars="200"/>
              <w:jc w:val="left"/>
              <w:textAlignment w:val="center"/>
              <w:rPr>
                <w:rFonts w:hint="default" w:ascii="仿宋_GB2312" w:eastAsia="仿宋_GB2312" w:cs="仿宋_GB2312"/>
                <w:color w:val="000000"/>
                <w:sz w:val="22"/>
                <w:szCs w:val="22"/>
                <w:lang w:val="en-US" w:eastAsia="zh-CN"/>
              </w:rPr>
            </w:pPr>
            <w:r>
              <w:rPr>
                <w:rFonts w:hint="eastAsia" w:ascii="宋体" w:hAnsi="宋体" w:eastAsia="宋体" w:cs="宋体"/>
                <w:i w:val="0"/>
                <w:iCs w:val="0"/>
                <w:color w:val="333333"/>
                <w:sz w:val="21"/>
                <w:szCs w:val="21"/>
                <w:u w:val="none"/>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473" w:hRule="exact"/>
        </w:trPr>
        <w:tc>
          <w:tcPr>
            <w:tcW w:w="1638" w:type="dxa"/>
            <w:vMerge w:val="restart"/>
            <w:tcBorders>
              <w:top w:val="single" w:color="auto" w:sz="4" w:space="0"/>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single" w:color="auto" w:sz="4" w:space="0"/>
              <w:left w:val="nil"/>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184" w:type="dxa"/>
            <w:gridSpan w:val="2"/>
            <w:tcBorders>
              <w:top w:val="single" w:color="auto" w:sz="4" w:space="0"/>
              <w:left w:val="single" w:color="auto" w:sz="4" w:space="0"/>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eastAsia="仿宋_GB2312" w:cs="仿宋_GB2312" w:hAnsiTheme="minorHAnsi"/>
                <w:color w:val="000000"/>
                <w:kern w:val="0"/>
                <w:sz w:val="22"/>
                <w:szCs w:val="22"/>
                <w:lang w:val="en-US" w:eastAsia="zh-CN" w:bidi="ar"/>
              </w:rPr>
            </w:pPr>
            <w:r>
              <w:rPr>
                <w:rFonts w:hint="eastAsia" w:ascii="仿宋_GB2312" w:eastAsia="仿宋_GB2312" w:cs="仿宋_GB2312"/>
                <w:color w:val="000000"/>
                <w:sz w:val="22"/>
                <w:szCs w:val="22"/>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61" w:hRule="exact"/>
        </w:trPr>
        <w:tc>
          <w:tcPr>
            <w:tcW w:w="1638" w:type="dxa"/>
            <w:vMerge w:val="continue"/>
            <w:tcBorders>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bookmarkStart w:id="0" w:name="_GoBack"/>
            <w:bookmarkEnd w:id="0"/>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eastAsia="仿宋_GB2312" w:cs="仿宋_GB2312" w:hAnsiTheme="minorHAnsi"/>
                <w:color w:val="000000"/>
                <w:kern w:val="0"/>
                <w:sz w:val="22"/>
                <w:szCs w:val="22"/>
                <w:lang w:val="en-US" w:eastAsia="zh-CN" w:bidi="ar"/>
              </w:rPr>
            </w:pPr>
            <w:r>
              <w:rPr>
                <w:rFonts w:hint="eastAsia" w:ascii="仿宋_GB2312" w:eastAsia="仿宋_GB2312" w:cs="仿宋_GB2312"/>
                <w:color w:val="000000"/>
                <w:sz w:val="22"/>
                <w:szCs w:val="22"/>
                <w:lang w:val="en-US" w:eastAsia="zh-CN"/>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02" w:hRule="atLeast"/>
        </w:trPr>
        <w:tc>
          <w:tcPr>
            <w:tcW w:w="1638" w:type="dxa"/>
            <w:vMerge w:val="restart"/>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color w:val="000000"/>
                <w:sz w:val="22"/>
                <w:szCs w:val="22"/>
              </w:rPr>
              <w:t>医疗器械网络交易服务第三方平台信息（入驻类）</w:t>
            </w:r>
          </w:p>
        </w:tc>
        <w:tc>
          <w:tcPr>
            <w:tcW w:w="2923" w:type="dxa"/>
            <w:gridSpan w:val="2"/>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5258" w:type="dxa"/>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759"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tl2br w:val="nil"/>
              <w:tr2bl w:val="nil"/>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color w:val="000000"/>
                <w:sz w:val="24"/>
                <w:szCs w:val="24"/>
                <w:lang w:val="en-US" w:eastAsia="zh-CN"/>
              </w:rPr>
            </w:pP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深圳百寿健康信息技术有限公司（百寿健康）</w:t>
            </w:r>
          </w:p>
        </w:tc>
        <w:tc>
          <w:tcPr>
            <w:tcW w:w="5258" w:type="dxa"/>
            <w:tcBorders>
              <w:tl2br w:val="nil"/>
              <w:tr2bl w:val="nil"/>
            </w:tcBorders>
            <w:shd w:val="clear" w:color="auto" w:fill="auto"/>
            <w:vAlign w:val="center"/>
          </w:tcPr>
          <w:p>
            <w:pPr>
              <w:jc w:val="center"/>
              <w:rPr>
                <w:rFonts w:hint="eastAsia" w:ascii="仿宋_GB2312" w:hAnsi="仿宋_GB2312" w:eastAsia="仿宋_GB2312" w:cs="仿宋_GB2312"/>
                <w:color w:val="000000"/>
                <w:sz w:val="24"/>
                <w:szCs w:val="24"/>
                <w:lang w:val="en-US" w:eastAsia="zh-CN"/>
              </w:rPr>
            </w:pP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95"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bottom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仿宋_GB2312" w:hAnsi="仿宋_GB2312" w:eastAsia="仿宋_GB2312" w:cs="仿宋_GB2312"/>
                <w:color w:val="000000"/>
                <w:sz w:val="24"/>
                <w:szCs w:val="24"/>
                <w:lang w:val="en-US" w:eastAsia="zh-CN"/>
              </w:rPr>
            </w:pPr>
          </w:p>
        </w:tc>
        <w:tc>
          <w:tcPr>
            <w:tcW w:w="5258" w:type="dxa"/>
            <w:tcBorders>
              <w:bottom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12"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top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仿宋_GB2312" w:hAnsi="仿宋_GB2312" w:eastAsia="仿宋_GB2312" w:cs="仿宋_GB2312"/>
                <w:color w:val="000000"/>
                <w:sz w:val="24"/>
                <w:szCs w:val="24"/>
                <w:lang w:val="en-US" w:eastAsia="zh-CN"/>
              </w:rPr>
            </w:pPr>
          </w:p>
        </w:tc>
        <w:tc>
          <w:tcPr>
            <w:tcW w:w="5258" w:type="dxa"/>
            <w:tcBorders>
              <w:top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p>
        </w:tc>
      </w:tr>
    </w:tbl>
    <w:p>
      <w:pPr>
        <w:jc w:val="center"/>
        <w:rPr>
          <w:rFonts w:hint="eastAsia"/>
          <w:b/>
          <w:bCs/>
          <w:sz w:val="24"/>
          <w:szCs w:val="24"/>
          <w:lang w:val="en-US" w:eastAsia="zh-CN"/>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p>
    <w:p>
      <w:pPr>
        <w:pStyle w:val="2"/>
        <w:rPr>
          <w:rFonts w:hint="eastAsia" w:ascii="仿宋" w:hAnsi="仿宋" w:eastAsia="仿宋" w:cs="仿宋"/>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6893"/>
    <w:rsid w:val="02F21311"/>
    <w:rsid w:val="05EB1AC2"/>
    <w:rsid w:val="08C93787"/>
    <w:rsid w:val="0A21765F"/>
    <w:rsid w:val="0A941CA5"/>
    <w:rsid w:val="117F40FD"/>
    <w:rsid w:val="12177168"/>
    <w:rsid w:val="13504C11"/>
    <w:rsid w:val="14366510"/>
    <w:rsid w:val="144D2C54"/>
    <w:rsid w:val="158F7C42"/>
    <w:rsid w:val="17A92098"/>
    <w:rsid w:val="20716C4C"/>
    <w:rsid w:val="227375EE"/>
    <w:rsid w:val="23B54B08"/>
    <w:rsid w:val="251E7AF0"/>
    <w:rsid w:val="272B0448"/>
    <w:rsid w:val="274E3E5C"/>
    <w:rsid w:val="2CC70D15"/>
    <w:rsid w:val="2DBB26A4"/>
    <w:rsid w:val="2F7E6B9C"/>
    <w:rsid w:val="31015EBC"/>
    <w:rsid w:val="31134E47"/>
    <w:rsid w:val="32035839"/>
    <w:rsid w:val="33F00EA3"/>
    <w:rsid w:val="348C0254"/>
    <w:rsid w:val="369C6DA9"/>
    <w:rsid w:val="3CE460F4"/>
    <w:rsid w:val="404F2A20"/>
    <w:rsid w:val="42B25790"/>
    <w:rsid w:val="43FF06A1"/>
    <w:rsid w:val="48A352BF"/>
    <w:rsid w:val="4B4771C0"/>
    <w:rsid w:val="53651681"/>
    <w:rsid w:val="53B84782"/>
    <w:rsid w:val="54D651D3"/>
    <w:rsid w:val="580E1B14"/>
    <w:rsid w:val="66A56FDD"/>
    <w:rsid w:val="67836DC0"/>
    <w:rsid w:val="69996D05"/>
    <w:rsid w:val="6A1E1802"/>
    <w:rsid w:val="6D142332"/>
    <w:rsid w:val="6E203F44"/>
    <w:rsid w:val="6EC03F4C"/>
    <w:rsid w:val="702E0741"/>
    <w:rsid w:val="7D48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2021-09-09T09:53:46Z</cp:lastPrinted>
  <dcterms:modified xsi:type="dcterms:W3CDTF">2021-09-09T09:53:48Z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ADD47DE5AF5345BB98150A6CABAD11D1</vt:lpwstr>
  </property>
</Properties>
</file>