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kern w:val="2"/>
          <w:sz w:val="28"/>
          <w:szCs w:val="28"/>
          <w:lang w:val="en-US" w:eastAsia="zh-CN" w:bidi="ar-SA"/>
        </w:rPr>
      </w:pPr>
      <w:r>
        <w:rPr>
          <w:rFonts w:hint="eastAsia" w:ascii="文星标宋" w:hAnsi="文星标宋" w:eastAsia="文星标宋" w:cs="文星标宋"/>
          <w:b w:val="0"/>
          <w:bCs w:val="0"/>
          <w:sz w:val="44"/>
          <w:szCs w:val="44"/>
          <w:lang w:val="en-US" w:eastAsia="zh-CN"/>
        </w:rPr>
        <w:t>医疗器械网络销售信息表</w:t>
      </w:r>
    </w:p>
    <w:tbl>
      <w:tblPr>
        <w:tblStyle w:val="8"/>
        <w:tblpPr w:leftFromText="180" w:rightFromText="180" w:vertAnchor="page" w:horzAnchor="page" w:tblpX="1248" w:tblpY="2377"/>
        <w:tblOverlap w:val="never"/>
        <w:tblW w:w="98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638"/>
        <w:gridCol w:w="997"/>
        <w:gridCol w:w="1926"/>
        <w:gridCol w:w="52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40" w:hRule="atLeast"/>
        </w:trPr>
        <w:tc>
          <w:tcPr>
            <w:tcW w:w="163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网络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sz w:val="24"/>
                <w:szCs w:val="24"/>
              </w:rPr>
            </w:pPr>
            <w:r>
              <w:rPr>
                <w:rFonts w:hint="eastAsia" w:ascii="Calibri" w:hAnsi="Calibri" w:cs="Calibri" w:eastAsiaTheme="minorEastAsia"/>
                <w:color w:val="000000"/>
                <w:kern w:val="0"/>
                <w:sz w:val="22"/>
                <w:szCs w:val="22"/>
                <w:lang w:val="en-US" w:eastAsia="zh-CN" w:bidi="ar"/>
              </w:rPr>
              <w:t>销售类型</w:t>
            </w:r>
          </w:p>
        </w:tc>
        <w:tc>
          <w:tcPr>
            <w:tcW w:w="8181" w:type="dxa"/>
            <w:gridSpan w:val="3"/>
            <w:tcBorders>
              <w:top w:val="single" w:color="auto" w:sz="6" w:space="0"/>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35" w:hRule="atLeast"/>
        </w:trPr>
        <w:tc>
          <w:tcPr>
            <w:tcW w:w="1638" w:type="dxa"/>
            <w:vMerge w:val="restart"/>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名称</w:t>
            </w:r>
          </w:p>
        </w:tc>
        <w:tc>
          <w:tcPr>
            <w:tcW w:w="7184" w:type="dxa"/>
            <w:gridSpan w:val="2"/>
            <w:tcBorders>
              <w:top w:val="single" w:color="auto" w:sz="6" w:space="0"/>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bookmarkStart w:id="0" w:name="_GoBack"/>
            <w:r>
              <w:rPr>
                <w:rFonts w:hint="eastAsia" w:ascii="仿宋_GB2312" w:hAnsi="仿宋_GB2312" w:eastAsia="仿宋_GB2312" w:cs="仿宋_GB2312"/>
                <w:color w:val="000000"/>
                <w:sz w:val="24"/>
                <w:szCs w:val="24"/>
                <w:lang w:eastAsia="zh-CN"/>
              </w:rPr>
              <w:t>河南宜致大药房有限公司灵宝函谷店</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37"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住  所</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社会信用代码</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eastAsia="zh-CN"/>
              </w:rPr>
              <w:t>91411282MA9FYDA368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场所</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eastAsia="zh-CN"/>
              </w:rPr>
              <w:t>河南省三门峡市灵宝市城关镇长安西路和黄河路交叉口函谷大酒店对面西华九组门面房2号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库房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地址</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05"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业态</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55"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医疗器械经营许可证（备案凭证）编号</w:t>
            </w: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豫三食药监械经营备20200179号</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sz w:val="24"/>
                <w:szCs w:val="24"/>
                <w:lang w:val="en-US" w:eastAsia="zh-CN"/>
              </w:rPr>
              <w:t>豫三食药监械经营许20200111号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6114" w:hRule="atLeast"/>
        </w:trPr>
        <w:tc>
          <w:tcPr>
            <w:tcW w:w="1638" w:type="dxa"/>
            <w:vMerge w:val="continue"/>
            <w:tcBorders>
              <w:top w:val="nil"/>
              <w:left w:val="single" w:color="auto" w:sz="6" w:space="0"/>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4"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范围</w:t>
            </w:r>
          </w:p>
        </w:tc>
        <w:tc>
          <w:tcPr>
            <w:tcW w:w="7184" w:type="dxa"/>
            <w:gridSpan w:val="2"/>
            <w:tcBorders>
              <w:top w:val="nil"/>
              <w:left w:val="nil"/>
              <w:bottom w:val="single" w:color="auto" w:sz="4" w:space="0"/>
              <w:right w:val="single" w:color="000000" w:sz="6" w:space="0"/>
            </w:tcBorders>
            <w:shd w:val="clear" w:color="auto" w:fill="auto"/>
            <w:vAlign w:val="center"/>
          </w:tcPr>
          <w:p>
            <w:pPr>
              <w:ind w:firstLine="420" w:firstLineChars="200"/>
              <w:rPr>
                <w:rFonts w:hint="eastAsia"/>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第二类：</w:t>
            </w:r>
            <w:r>
              <w:rPr>
                <w:color w:val="000000" w:themeColor="text1"/>
                <w14:textFill>
                  <w14:solidFill>
                    <w14:schemeClr w14:val="tx1"/>
                  </w14:solidFill>
                </w14:textFill>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w:t>
            </w:r>
            <w:r>
              <w:rPr>
                <w:rFonts w:hint="eastAsia"/>
                <w:color w:val="000000" w:themeColor="text1"/>
                <w14:textFill>
                  <w14:solidFill>
                    <w14:schemeClr w14:val="tx1"/>
                  </w14:solidFill>
                </w14:textFill>
              </w:rPr>
              <w:t>设备，</w:t>
            </w:r>
            <w:r>
              <w:rPr>
                <w:color w:val="000000" w:themeColor="text1"/>
                <w14:textFill>
                  <w14:solidFill>
                    <w14:schemeClr w14:val="tx1"/>
                  </w14:solidFill>
                </w14:textFill>
              </w:rPr>
              <w:t>6826物理治疗及康复设备，6827中医器械，6828医用磁共振设备，6830医用X射线设备，6831医用X射线附属设备及部件，6832医用高能射线设备，6833医用核素设备，6834医用射线防护用品、装置</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6840临床检验分析仪器及诊断试剂（诊断试剂不需低温冷藏运输贮存），6841医用化验和基础设备器具，6845体外循环及血液处理设备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ind w:firstLine="420" w:firstLineChars="200"/>
              <w:rPr>
                <w:rFonts w:hint="default" w:ascii="仿宋_GB2312" w:eastAsia="仿宋_GB2312" w:cs="仿宋_GB2312"/>
                <w:color w:val="000000"/>
                <w:sz w:val="22"/>
                <w:szCs w:val="22"/>
                <w:lang w:val="en-US" w:eastAsia="zh-CN"/>
              </w:rPr>
            </w:pPr>
            <w:r>
              <w:rPr>
                <w:rFonts w:hint="eastAsia"/>
              </w:rPr>
              <w:t>第二类：</w:t>
            </w:r>
            <w: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2031" w:hRule="exact"/>
        </w:trPr>
        <w:tc>
          <w:tcPr>
            <w:tcW w:w="1638" w:type="dxa"/>
            <w:vMerge w:val="restart"/>
            <w:tcBorders>
              <w:top w:val="single" w:color="auto" w:sz="4" w:space="0"/>
              <w:left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single" w:color="auto" w:sz="4" w:space="0"/>
              <w:left w:val="nil"/>
              <w:bottom w:val="single" w:color="auto" w:sz="4"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经营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范围</w:t>
            </w:r>
          </w:p>
        </w:tc>
        <w:tc>
          <w:tcPr>
            <w:tcW w:w="7184" w:type="dxa"/>
            <w:gridSpan w:val="2"/>
            <w:tcBorders>
              <w:top w:val="single" w:color="auto" w:sz="4" w:space="0"/>
              <w:left w:val="single" w:color="auto" w:sz="4" w:space="0"/>
              <w:bottom w:val="single" w:color="auto" w:sz="4" w:space="0"/>
              <w:right w:val="single" w:color="000000" w:sz="6" w:space="0"/>
            </w:tcBorders>
            <w:shd w:val="clear" w:color="auto" w:fill="auto"/>
            <w:vAlign w:val="center"/>
          </w:tcPr>
          <w:p>
            <w:pPr>
              <w:ind w:firstLine="420" w:firstLineChars="200"/>
            </w:pPr>
            <w:r>
              <w:rPr>
                <w:rFonts w:hint="eastAsia"/>
              </w:rPr>
              <w:t>第三类：</w:t>
            </w:r>
            <w:r>
              <w:t>6815注射穿刺器械，6825医用高频仪器设备，6854手术室、急救室、诊疗室设备及器具，6865医用缝合材料及粘合剂，6866医用高分子材料及制品</w:t>
            </w:r>
          </w:p>
          <w:p>
            <w:pPr>
              <w:ind w:firstLine="420" w:firstLineChars="200"/>
            </w:pPr>
            <w:r>
              <w:rPr>
                <w:rFonts w:hint="eastAsia"/>
              </w:rPr>
              <w:t>第三类：</w:t>
            </w:r>
            <w:r>
              <w:t>01有源手术器械，02无源手术器械，08呼吸、麻醉和急救器械，09物理治疗器械，10输血、透析和体外循环器械，14注输、护理和防护器械，18妇产科、辅助生殖和避孕器械，22临床检验器械</w:t>
            </w:r>
          </w:p>
          <w:p>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_GB2312" w:eastAsia="仿宋_GB2312" w:cs="仿宋_GB2312"/>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1314" w:hRule="exac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single" w:color="auto" w:sz="4" w:space="0"/>
              <w:left w:val="nil"/>
              <w:bottom w:val="single" w:color="auto" w:sz="6" w:space="0"/>
              <w:right w:val="single" w:color="auto" w:sz="4"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184" w:type="dxa"/>
            <w:gridSpan w:val="2"/>
            <w:tcBorders>
              <w:top w:val="single" w:color="auto" w:sz="4" w:space="0"/>
              <w:left w:val="single" w:color="auto" w:sz="4" w:space="0"/>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eastAsia="仿宋_GB2312" w:cs="仿宋_GB2312" w:hAnsiTheme="minorHAnsi"/>
                <w:color w:val="000000"/>
                <w:kern w:val="0"/>
                <w:sz w:val="22"/>
                <w:szCs w:val="22"/>
                <w:lang w:val="en-US" w:eastAsia="zh-CN" w:bidi="ar"/>
              </w:rPr>
            </w:pPr>
            <w:r>
              <w:rPr>
                <w:rFonts w:hint="eastAsia" w:ascii="仿宋_GB2312" w:eastAsia="仿宋_GB2312" w:cs="仿宋_GB2312"/>
                <w:color w:val="000000"/>
                <w:sz w:val="22"/>
                <w:szCs w:val="22"/>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1461" w:hRule="exact"/>
        </w:trPr>
        <w:tc>
          <w:tcPr>
            <w:tcW w:w="1638" w:type="dxa"/>
            <w:vMerge w:val="continue"/>
            <w:tcBorders>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997" w:type="dxa"/>
            <w:tcBorders>
              <w:top w:val="nil"/>
              <w:left w:val="nil"/>
              <w:bottom w:val="single" w:color="auto" w:sz="6" w:space="0"/>
              <w:right w:val="single" w:color="auto"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tc>
        <w:tc>
          <w:tcPr>
            <w:tcW w:w="7184" w:type="dxa"/>
            <w:gridSpan w:val="2"/>
            <w:tcBorders>
              <w:top w:val="nil"/>
              <w:left w:val="nil"/>
              <w:bottom w:val="single" w:color="auto" w:sz="6" w:space="0"/>
              <w:right w:val="single" w:color="000000" w:sz="6" w:space="0"/>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仿宋_GB2312" w:eastAsia="仿宋_GB2312" w:cs="仿宋_GB2312" w:hAnsiTheme="minorHAnsi"/>
                <w:color w:val="000000"/>
                <w:kern w:val="0"/>
                <w:sz w:val="22"/>
                <w:szCs w:val="22"/>
                <w:lang w:val="en-US" w:eastAsia="zh-CN" w:bidi="ar"/>
              </w:rPr>
            </w:pPr>
            <w:r>
              <w:rPr>
                <w:rFonts w:hint="eastAsia" w:ascii="仿宋_GB2312" w:eastAsia="仿宋_GB2312" w:cs="仿宋_GB2312"/>
                <w:color w:val="000000"/>
                <w:sz w:val="22"/>
                <w:szCs w:val="22"/>
                <w:lang w:val="en-US" w:eastAsia="zh-CN"/>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802" w:hRule="atLeast"/>
        </w:trPr>
        <w:tc>
          <w:tcPr>
            <w:tcW w:w="1638" w:type="dxa"/>
            <w:vMerge w:val="restart"/>
            <w:tcBorders>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sz w:val="24"/>
                <w:szCs w:val="24"/>
              </w:rPr>
            </w:pPr>
            <w:r>
              <w:rPr>
                <w:rFonts w:hint="eastAsia" w:ascii="Calibri" w:hAnsi="Calibri" w:cs="Calibri"/>
                <w:color w:val="000000"/>
                <w:sz w:val="22"/>
                <w:szCs w:val="22"/>
              </w:rPr>
              <w:t>医疗器械网络交易服务第三方平台信息（入驻类）</w:t>
            </w:r>
          </w:p>
        </w:tc>
        <w:tc>
          <w:tcPr>
            <w:tcW w:w="2923" w:type="dxa"/>
            <w:gridSpan w:val="2"/>
            <w:tcBorders>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5258" w:type="dxa"/>
            <w:tcBorders>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759" w:hRule="atLeast"/>
        </w:trPr>
        <w:tc>
          <w:tcPr>
            <w:tcW w:w="163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4"/>
                <w:szCs w:val="24"/>
              </w:rPr>
            </w:pPr>
          </w:p>
        </w:tc>
        <w:tc>
          <w:tcPr>
            <w:tcW w:w="2923" w:type="dxa"/>
            <w:gridSpan w:val="2"/>
            <w:tcBorders>
              <w:tl2br w:val="nil"/>
              <w:tr2bl w:val="nil"/>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深圳百寿健康信息技术有限公司（百寿健康）</w:t>
            </w:r>
          </w:p>
        </w:tc>
        <w:tc>
          <w:tcPr>
            <w:tcW w:w="5258" w:type="dxa"/>
            <w:tcBorders>
              <w:tl2br w:val="nil"/>
              <w:tr2bl w:val="nil"/>
            </w:tcBorders>
            <w:shd w:val="clear" w:color="auto" w:fill="auto"/>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895" w:hRule="atLeast"/>
        </w:trPr>
        <w:tc>
          <w:tcPr>
            <w:tcW w:w="163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4"/>
                <w:szCs w:val="24"/>
              </w:rPr>
            </w:pPr>
          </w:p>
        </w:tc>
        <w:tc>
          <w:tcPr>
            <w:tcW w:w="2923" w:type="dxa"/>
            <w:gridSpan w:val="2"/>
            <w:tcBorders>
              <w:bottom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仿宋_GB2312" w:hAnsi="仿宋_GB2312" w:eastAsia="仿宋_GB2312" w:cs="仿宋_GB2312"/>
                <w:color w:val="000000"/>
                <w:sz w:val="24"/>
                <w:szCs w:val="24"/>
                <w:lang w:val="en-US" w:eastAsia="zh-CN"/>
              </w:rPr>
            </w:pPr>
          </w:p>
        </w:tc>
        <w:tc>
          <w:tcPr>
            <w:tcW w:w="5258" w:type="dxa"/>
            <w:tcBorders>
              <w:bottom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tblCellMar>
            <w:top w:w="0" w:type="dxa"/>
            <w:left w:w="105" w:type="dxa"/>
            <w:bottom w:w="0" w:type="dxa"/>
            <w:right w:w="105" w:type="dxa"/>
          </w:tblCellMar>
        </w:tblPrEx>
        <w:trPr>
          <w:trHeight w:val="912" w:hRule="atLeast"/>
        </w:trPr>
        <w:tc>
          <w:tcPr>
            <w:tcW w:w="1638"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4"/>
                <w:szCs w:val="24"/>
              </w:rPr>
            </w:pPr>
          </w:p>
        </w:tc>
        <w:tc>
          <w:tcPr>
            <w:tcW w:w="2923" w:type="dxa"/>
            <w:gridSpan w:val="2"/>
            <w:tcBorders>
              <w:top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仿宋_GB2312" w:hAnsi="仿宋_GB2312" w:eastAsia="仿宋_GB2312" w:cs="仿宋_GB2312"/>
                <w:color w:val="000000"/>
                <w:sz w:val="24"/>
                <w:szCs w:val="24"/>
                <w:lang w:val="en-US" w:eastAsia="zh-CN"/>
              </w:rPr>
            </w:pPr>
          </w:p>
        </w:tc>
        <w:tc>
          <w:tcPr>
            <w:tcW w:w="5258" w:type="dxa"/>
            <w:tcBorders>
              <w:top w:val="single" w:color="auto" w:sz="4" w:space="0"/>
              <w:tl2br w:val="nil"/>
              <w:tr2bl w:val="nil"/>
            </w:tcBorders>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p>
        </w:tc>
      </w:tr>
    </w:tbl>
    <w:p>
      <w:pPr>
        <w:jc w:val="center"/>
        <w:rPr>
          <w:rFonts w:hint="eastAsia"/>
          <w:b/>
          <w:bCs/>
          <w:sz w:val="24"/>
          <w:szCs w:val="24"/>
          <w:lang w:val="en-US" w:eastAsia="zh-CN"/>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仿宋"/>
          <w:sz w:val="24"/>
          <w:szCs w:val="24"/>
        </w:rPr>
      </w:pPr>
    </w:p>
    <w:p>
      <w:pPr>
        <w:pStyle w:val="2"/>
        <w:rPr>
          <w:rFonts w:hint="eastAsia" w:ascii="仿宋" w:hAnsi="仿宋" w:eastAsia="仿宋" w:cs="仿宋"/>
          <w:sz w:val="24"/>
          <w:szCs w:val="24"/>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D6893"/>
    <w:rsid w:val="02F21311"/>
    <w:rsid w:val="05EB1AC2"/>
    <w:rsid w:val="08C93787"/>
    <w:rsid w:val="0A21765F"/>
    <w:rsid w:val="0A941CA5"/>
    <w:rsid w:val="117F40FD"/>
    <w:rsid w:val="12177168"/>
    <w:rsid w:val="13504C11"/>
    <w:rsid w:val="14366510"/>
    <w:rsid w:val="144D2C54"/>
    <w:rsid w:val="158F7C42"/>
    <w:rsid w:val="17A92098"/>
    <w:rsid w:val="20716C4C"/>
    <w:rsid w:val="227375EE"/>
    <w:rsid w:val="23B54B08"/>
    <w:rsid w:val="251E7AF0"/>
    <w:rsid w:val="272B0448"/>
    <w:rsid w:val="2CC70D15"/>
    <w:rsid w:val="2DBB26A4"/>
    <w:rsid w:val="2F7E6B9C"/>
    <w:rsid w:val="31015EBC"/>
    <w:rsid w:val="31134E47"/>
    <w:rsid w:val="32035839"/>
    <w:rsid w:val="33F00EA3"/>
    <w:rsid w:val="348C0254"/>
    <w:rsid w:val="369C6DA9"/>
    <w:rsid w:val="3CE460F4"/>
    <w:rsid w:val="404F2A20"/>
    <w:rsid w:val="42B25790"/>
    <w:rsid w:val="43FF06A1"/>
    <w:rsid w:val="48A352BF"/>
    <w:rsid w:val="4B4771C0"/>
    <w:rsid w:val="53651681"/>
    <w:rsid w:val="53B84782"/>
    <w:rsid w:val="54D651D3"/>
    <w:rsid w:val="580E1B14"/>
    <w:rsid w:val="66A56FDD"/>
    <w:rsid w:val="67836DC0"/>
    <w:rsid w:val="69996D05"/>
    <w:rsid w:val="6A1E1802"/>
    <w:rsid w:val="6D142332"/>
    <w:rsid w:val="6E203F44"/>
    <w:rsid w:val="6EC03F4C"/>
    <w:rsid w:val="702E0741"/>
    <w:rsid w:val="7D48017D"/>
    <w:rsid w:val="7DCD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1</TotalTime>
  <ScaleCrop>false</ScaleCrop>
  <LinksUpToDate>false</LinksUpToDate>
  <CharactersWithSpaces>1261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雨心语馨</cp:lastModifiedBy>
  <cp:lastPrinted>2021-08-27T07:58:33Z</cp:lastPrinted>
  <dcterms:modified xsi:type="dcterms:W3CDTF">2021-08-27T07:59:40Z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ADD47DE5AF5345BB98150A6CABAD11D1</vt:lpwstr>
  </property>
</Properties>
</file>