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蜂产品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</w:t>
      </w:r>
      <w:r>
        <w:rPr>
          <w:color w:val="333333"/>
          <w:sz w:val="30"/>
          <w:szCs w:val="30"/>
        </w:rPr>
        <w:t>食品安全国家标准 蜂蜜</w:t>
      </w:r>
      <w:r>
        <w:rPr>
          <w:rFonts w:hint="eastAsia" w:ascii="仿宋" w:hAnsi="仿宋" w:eastAsia="仿宋" w:cs="仿宋"/>
          <w:sz w:val="32"/>
          <w:szCs w:val="32"/>
        </w:rPr>
        <w:t>》（GB 14963-2011）、《</w:t>
      </w:r>
      <w:r>
        <w:rPr>
          <w:color w:val="333333"/>
          <w:sz w:val="30"/>
          <w:szCs w:val="30"/>
        </w:rPr>
        <w:t>食品安全国家标准 食品中兽药最大残留限量</w:t>
      </w:r>
      <w:r>
        <w:rPr>
          <w:rFonts w:hint="eastAsia" w:ascii="仿宋" w:hAnsi="仿宋" w:eastAsia="仿宋" w:cs="仿宋"/>
          <w:sz w:val="32"/>
          <w:szCs w:val="32"/>
        </w:rPr>
        <w:t>》（GB 31650-2019）、《食品动物中禁止使用的药品及其他化合物清单》（农业农村部公告第250号）、《发布在食品动物中停止使用洛美沙星、培氟沙星、氧氟沙星、诺氟沙星4种兽药的决定》（农业部公告第2292号）。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蜂蜜抽检项目包括果糖、甲硝唑、菌落总数、氯霉素、霉菌、诺氟沙星、葡萄糖、氧氟沙星、蔗糖。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、糕点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</w:t>
      </w:r>
      <w:r>
        <w:rPr>
          <w:rFonts w:ascii="仿宋" w:hAnsi="仿宋" w:eastAsia="仿宋" w:cs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</w:rPr>
        <w:t>）、《</w:t>
      </w:r>
      <w:r>
        <w:rPr>
          <w:rFonts w:ascii="仿宋" w:hAnsi="仿宋" w:eastAsia="仿宋" w:cs="仿宋"/>
          <w:sz w:val="32"/>
          <w:szCs w:val="32"/>
        </w:rPr>
        <w:t>食品安全国家标准 糕点、面包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 7099-2015</w:t>
      </w:r>
      <w:r>
        <w:rPr>
          <w:rFonts w:hint="eastAsia" w:ascii="仿宋" w:hAnsi="仿宋" w:eastAsia="仿宋" w:cs="仿宋"/>
          <w:sz w:val="32"/>
          <w:szCs w:val="32"/>
        </w:rPr>
        <w:t>）、《</w:t>
      </w:r>
      <w:r>
        <w:rPr>
          <w:rFonts w:ascii="仿宋" w:hAnsi="仿宋" w:eastAsia="仿宋" w:cs="仿宋"/>
          <w:sz w:val="32"/>
          <w:szCs w:val="32"/>
        </w:rPr>
        <w:t>食品安全国家标准 食品中致病菌限量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 29921-2013</w:t>
      </w:r>
      <w:r>
        <w:rPr>
          <w:rFonts w:hint="eastAsia" w:ascii="仿宋" w:hAnsi="仿宋" w:eastAsia="仿宋" w:cs="仿宋"/>
          <w:sz w:val="32"/>
          <w:szCs w:val="32"/>
        </w:rPr>
        <w:t>）、《食品安全国家标准 饼干》（</w:t>
      </w:r>
      <w:r>
        <w:rPr>
          <w:rFonts w:ascii="仿宋" w:hAnsi="仿宋" w:eastAsia="仿宋" w:cs="仿宋"/>
          <w:sz w:val="32"/>
          <w:szCs w:val="32"/>
        </w:rPr>
        <w:t>GB 7100-2015</w:t>
      </w:r>
      <w:r>
        <w:rPr>
          <w:rFonts w:hint="eastAsia" w:ascii="仿宋" w:hAnsi="仿宋" w:eastAsia="仿宋" w:cs="仿宋"/>
          <w:sz w:val="32"/>
          <w:szCs w:val="32"/>
        </w:rPr>
        <w:t>）、《食品中可能违法添加的非食用物质名单（第二批）》（食品整治办〔2009〕5号）。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糕点抽检项目包括苯甲酸及其钠盐（以苯甲酸计）、防腐剂混合使用时各自用量占其最大使用量的比例之和、富马酸二甲酯、过氧化值（以脂肪计）、菌落总数(n=5)、铝的残留量(干样品，以Al计)、山梨酸及其钾盐（以山梨酸计）、酸价（以脂肪计）（KOH）、糖精钠（以糖精计）。</w:t>
      </w:r>
    </w:p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、糖果制品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糖果》（GB 17399-2016）、《食品安全国家标准 食品添加剂使用标准》（GB 2760-2014）、《食品安全国家标准 食品中污染物限量》（GB 2762-2017）。</w:t>
      </w:r>
    </w:p>
    <w:p>
      <w:p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糖果抽检项目包括大肠菌群(n=5)、菌落总数(n=5)、柠檬黄、铅（以Pb计）、日落黄、糖精钠（以糖精计）、苋菜红、相同色泽着色剂混合使用时各自用量占其最大使用量的比例之和、胭脂红。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EF54DB"/>
    <w:rsid w:val="0005155D"/>
    <w:rsid w:val="00145088"/>
    <w:rsid w:val="00211C07"/>
    <w:rsid w:val="002760C8"/>
    <w:rsid w:val="002B205E"/>
    <w:rsid w:val="002B279A"/>
    <w:rsid w:val="00303A23"/>
    <w:rsid w:val="00304915"/>
    <w:rsid w:val="00341BB6"/>
    <w:rsid w:val="0035364D"/>
    <w:rsid w:val="004E5964"/>
    <w:rsid w:val="00546378"/>
    <w:rsid w:val="005D6805"/>
    <w:rsid w:val="00624EA9"/>
    <w:rsid w:val="0063284D"/>
    <w:rsid w:val="006854AC"/>
    <w:rsid w:val="008430FD"/>
    <w:rsid w:val="00865C00"/>
    <w:rsid w:val="00872616"/>
    <w:rsid w:val="008B133F"/>
    <w:rsid w:val="008B1B91"/>
    <w:rsid w:val="008B72F1"/>
    <w:rsid w:val="00A4208F"/>
    <w:rsid w:val="00A672D5"/>
    <w:rsid w:val="00A75C80"/>
    <w:rsid w:val="00A837B8"/>
    <w:rsid w:val="00B00686"/>
    <w:rsid w:val="00BC321D"/>
    <w:rsid w:val="00C04F58"/>
    <w:rsid w:val="00C10D37"/>
    <w:rsid w:val="00C67279"/>
    <w:rsid w:val="00CB31A8"/>
    <w:rsid w:val="00D52A33"/>
    <w:rsid w:val="00F14662"/>
    <w:rsid w:val="00F6396B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C7444B"/>
    <w:rsid w:val="254E2CAE"/>
    <w:rsid w:val="260C095C"/>
    <w:rsid w:val="28F9231C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77035F1"/>
    <w:rsid w:val="4A560B3F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1E053B"/>
    <w:rsid w:val="5AAC03DD"/>
    <w:rsid w:val="5AEA18B6"/>
    <w:rsid w:val="5E375F29"/>
    <w:rsid w:val="5FE366F8"/>
    <w:rsid w:val="63D8370D"/>
    <w:rsid w:val="65FB7ABA"/>
    <w:rsid w:val="6A364A94"/>
    <w:rsid w:val="6B2B05B2"/>
    <w:rsid w:val="6B916080"/>
    <w:rsid w:val="6BEC2508"/>
    <w:rsid w:val="6D8E4D67"/>
    <w:rsid w:val="70F60347"/>
    <w:rsid w:val="71BC4480"/>
    <w:rsid w:val="734E1428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uiPriority w:val="0"/>
    <w:rPr>
      <w:sz w:val="18"/>
      <w:szCs w:val="18"/>
    </w:rPr>
  </w:style>
  <w:style w:type="paragraph" w:styleId="4">
    <w:name w:val="footer"/>
    <w:basedOn w:val="1"/>
    <w:link w:val="3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uiPriority w:val="0"/>
    <w:rPr>
      <w:rFonts w:ascii="Calibri" w:hAnsi="Calibri"/>
      <w:kern w:val="2"/>
      <w:sz w:val="18"/>
      <w:szCs w:val="18"/>
    </w:rPr>
  </w:style>
  <w:style w:type="paragraph" w:styleId="3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666</Words>
  <Characters>3799</Characters>
  <Lines>31</Lines>
  <Paragraphs>8</Paragraphs>
  <TotalTime>0</TotalTime>
  <ScaleCrop>false</ScaleCrop>
  <LinksUpToDate>false</LinksUpToDate>
  <CharactersWithSpaces>4457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2021-04-14T07:39:56Z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