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6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三门峡华为医药零售连锁有限公司卢氏东花坛店主动提出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第七十条第三款、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七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条的规定，决定依法注销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经营许可证》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（见附表）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，自注销之日起，《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医疗器械经营许可证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（许可证编号：豫三食药监械经营许20160005号）证件无效，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请社会各界监督。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br w:type="textWrapping"/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</w:t>
      </w:r>
      <w:r>
        <w:rPr>
          <w:rFonts w:hint="eastAsia" w:ascii="文星仿宋" w:hAnsi="文星仿宋" w:eastAsia="文星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2021年01月26日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</w:t>
      </w: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63" w:tblpY="157"/>
        <w:tblOverlap w:val="never"/>
        <w:tblW w:w="12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1650"/>
        <w:gridCol w:w="2594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三门峡华为医药零售连锁有限公司卢氏东花坛店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张麦艳</w:t>
            </w:r>
          </w:p>
        </w:tc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卢氏县城东花坛北侧</w:t>
            </w: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经营许20160005号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B49B0"/>
    <w:rsid w:val="4A36199E"/>
    <w:rsid w:val="686001A7"/>
    <w:rsid w:val="7C5B41C5"/>
    <w:rsid w:val="7F4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dcterms:modified xsi:type="dcterms:W3CDTF">2021-01-26T07:51:27Z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