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4"/>
        </w:rPr>
      </w:pPr>
    </w:p>
    <w:p>
      <w:pPr>
        <w:spacing w:line="44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ascii="仿宋" w:hAnsi="仿宋" w:eastAsia="仿宋" w:cs="仿宋"/>
          <w:b w:val="0"/>
          <w:sz w:val="44"/>
          <w:szCs w:val="44"/>
        </w:rPr>
      </w:pPr>
      <w:r>
        <w:rPr>
          <w:rStyle w:val="15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一、食用油、油脂及其制品</w:t>
      </w:r>
    </w:p>
    <w:p>
      <w:pPr>
        <w:spacing w:line="44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抽检依据《食品安全国家标准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植物油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GB 2716-2018）、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花生油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GB/T 1534-2017）、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ascii="Verdana" w:hAnsi="Verdana" w:cs="Verdana"/>
          <w:color w:val="333333"/>
          <w:sz w:val="30"/>
          <w:szCs w:val="30"/>
          <w:shd w:val="clear" w:color="auto" w:fill="FFFFFF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</w:rPr>
        <w:t>》（GB 2760-2014）、《食品安全国家标准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食品中真菌毒素限量</w:t>
      </w:r>
      <w:r>
        <w:rPr>
          <w:rFonts w:hint="eastAsia" w:ascii="仿宋" w:hAnsi="仿宋" w:eastAsia="仿宋" w:cs="仿宋"/>
          <w:sz w:val="32"/>
          <w:szCs w:val="32"/>
        </w:rPr>
        <w:t>》（GB 2761-2017）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。</w:t>
      </w:r>
    </w:p>
    <w:p>
      <w:pPr>
        <w:spacing w:line="440" w:lineRule="exact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1.花生油抽检项目包括苯并</w:t>
      </w:r>
      <w:r>
        <w:rPr>
          <w:rFonts w:ascii="仿宋" w:hAnsi="仿宋" w:eastAsia="仿宋" w:cs="仿宋"/>
          <w:sz w:val="32"/>
          <w:szCs w:val="32"/>
        </w:rPr>
        <w:t>[α]</w:t>
      </w:r>
      <w:r>
        <w:rPr>
          <w:rFonts w:hint="eastAsia" w:ascii="仿宋" w:hAnsi="仿宋" w:eastAsia="仿宋" w:cs="仿宋"/>
          <w:sz w:val="32"/>
          <w:szCs w:val="32"/>
        </w:rPr>
        <w:t>芘、过氧化值、黄曲霉毒素</w:t>
      </w:r>
      <w:r>
        <w:rPr>
          <w:rFonts w:ascii="仿宋" w:hAnsi="仿宋" w:eastAsia="仿宋" w:cs="仿宋"/>
          <w:sz w:val="32"/>
          <w:szCs w:val="32"/>
        </w:rPr>
        <w:t xml:space="preserve"> B</w:t>
      </w:r>
      <w:r>
        <w:rPr>
          <w:rFonts w:ascii="Cambria Math" w:hAnsi="Cambria Math" w:eastAsia="仿宋" w:cs="Cambria Math"/>
          <w:sz w:val="32"/>
          <w:szCs w:val="32"/>
        </w:rPr>
        <w:t>₁</w:t>
      </w:r>
      <w:r>
        <w:rPr>
          <w:rFonts w:hint="eastAsia" w:ascii="仿宋" w:hAnsi="仿宋" w:eastAsia="仿宋" w:cs="仿宋"/>
          <w:sz w:val="32"/>
          <w:szCs w:val="32"/>
        </w:rPr>
        <w:t>、溶剂残留量、酸价</w:t>
      </w:r>
      <w:r>
        <w:rPr>
          <w:rFonts w:ascii="仿宋" w:hAnsi="仿宋" w:eastAsia="仿宋" w:cs="仿宋"/>
          <w:sz w:val="32"/>
          <w:szCs w:val="32"/>
        </w:rPr>
        <w:t>(KOH)</w:t>
      </w:r>
      <w:r>
        <w:rPr>
          <w:rFonts w:hint="eastAsia" w:ascii="仿宋" w:hAnsi="仿宋" w:eastAsia="仿宋" w:cs="仿宋"/>
          <w:sz w:val="32"/>
          <w:szCs w:val="32"/>
        </w:rPr>
        <w:t>、特丁基对苯二酚（</w:t>
      </w:r>
      <w:r>
        <w:rPr>
          <w:rFonts w:ascii="仿宋" w:hAnsi="仿宋" w:eastAsia="仿宋" w:cs="仿宋"/>
          <w:sz w:val="32"/>
          <w:szCs w:val="32"/>
        </w:rPr>
        <w:t>TBHQ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、肉制品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抽检依据《食品安全国家标准 </w:t>
      </w:r>
      <w:r>
        <w:rPr>
          <w:rFonts w:ascii="Verdana" w:hAnsi="Verdana" w:cs="Verdana"/>
          <w:color w:val="333333"/>
          <w:sz w:val="30"/>
          <w:szCs w:val="30"/>
          <w:shd w:val="clear" w:color="auto" w:fill="FFFFFF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</w:rPr>
        <w:t>》（GB 2760-2014）、整顿办函〔2011〕1号、《</w:t>
      </w:r>
      <w:r>
        <w:rPr>
          <w:color w:val="333333"/>
          <w:sz w:val="30"/>
          <w:szCs w:val="30"/>
        </w:rPr>
        <w:t>食品安全国家标准 熟肉制品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ascii="仿宋" w:hAnsi="仿宋" w:eastAsia="仿宋" w:cs="仿宋"/>
          <w:sz w:val="32"/>
          <w:szCs w:val="32"/>
        </w:rPr>
        <w:t>GB 2726-2016</w:t>
      </w:r>
      <w:r>
        <w:rPr>
          <w:rFonts w:hint="eastAsia" w:ascii="仿宋" w:hAnsi="仿宋" w:eastAsia="仿宋" w:cs="仿宋"/>
          <w:sz w:val="32"/>
          <w:szCs w:val="32"/>
        </w:rPr>
        <w:t>）、《</w:t>
      </w:r>
      <w:r>
        <w:rPr>
          <w:color w:val="333333"/>
          <w:sz w:val="30"/>
          <w:szCs w:val="30"/>
        </w:rPr>
        <w:t>食品安全国家标准 食品中致病菌限量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ascii="仿宋" w:hAnsi="仿宋" w:eastAsia="仿宋" w:cs="仿宋"/>
          <w:sz w:val="32"/>
          <w:szCs w:val="32"/>
        </w:rPr>
        <w:t>GB 29921-2013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1.酱卤肉制品抽检项目包括苯甲酸及其钠盐（以苯甲酸计）、大肠菌群(n=5)、菌落总数(n=5)、氯霉素、沙门氏菌（n=5）、山梨酸及其钾盐（以山梨酸计）、亚硝酸盐(以亚硝酸钠计)、胭脂红。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、饮料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抽检依据《食品安全国家标准包装饮用水》（GB 19298-2014）、《</w:t>
      </w:r>
      <w:r>
        <w:rPr>
          <w:color w:val="333333"/>
          <w:sz w:val="30"/>
          <w:szCs w:val="30"/>
        </w:rPr>
        <w:t>食品安全国家标准 食品中污染物限量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ascii="仿宋" w:hAnsi="仿宋" w:eastAsia="仿宋" w:cs="仿宋"/>
          <w:sz w:val="32"/>
          <w:szCs w:val="32"/>
        </w:rPr>
        <w:t>GB 2762-2017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饮用纯净水抽检项目包括大肠菌群</w:t>
      </w:r>
      <w:r>
        <w:rPr>
          <w:rFonts w:ascii="仿宋" w:hAnsi="仿宋" w:eastAsia="仿宋" w:cs="仿宋"/>
          <w:sz w:val="32"/>
          <w:szCs w:val="32"/>
        </w:rPr>
        <w:t>(n=5)</w:t>
      </w:r>
      <w:r>
        <w:rPr>
          <w:rFonts w:hint="eastAsia" w:ascii="仿宋" w:hAnsi="仿宋" w:eastAsia="仿宋" w:cs="仿宋"/>
          <w:sz w:val="32"/>
          <w:szCs w:val="32"/>
        </w:rPr>
        <w:t>、耗氧量（以</w:t>
      </w:r>
      <w:r>
        <w:rPr>
          <w:rFonts w:ascii="仿宋" w:hAnsi="仿宋" w:eastAsia="仿宋" w:cs="仿宋"/>
          <w:sz w:val="32"/>
          <w:szCs w:val="32"/>
        </w:rPr>
        <w:t>O</w:t>
      </w:r>
      <w:r>
        <w:rPr>
          <w:rFonts w:ascii="Cambria Math" w:hAnsi="Cambria Math" w:eastAsia="仿宋" w:cs="Cambria Math"/>
          <w:sz w:val="32"/>
          <w:szCs w:val="32"/>
        </w:rPr>
        <w:t>₂</w:t>
      </w:r>
      <w:r>
        <w:rPr>
          <w:rFonts w:hint="eastAsia" w:ascii="仿宋" w:hAnsi="仿宋" w:eastAsia="仿宋" w:cs="仿宋"/>
          <w:sz w:val="32"/>
          <w:szCs w:val="32"/>
        </w:rPr>
        <w:t>计）、三氯甲烷、铜绿假单胞菌（</w:t>
      </w:r>
      <w:r>
        <w:rPr>
          <w:rFonts w:ascii="仿宋" w:hAnsi="仿宋" w:eastAsia="仿宋" w:cs="仿宋"/>
          <w:sz w:val="32"/>
          <w:szCs w:val="32"/>
        </w:rPr>
        <w:t>n=5</w:t>
      </w:r>
      <w:r>
        <w:rPr>
          <w:rFonts w:hint="eastAsia" w:ascii="仿宋" w:hAnsi="仿宋" w:eastAsia="仿宋" w:cs="仿宋"/>
          <w:sz w:val="32"/>
          <w:szCs w:val="32"/>
        </w:rPr>
        <w:t>）、溴酸盐、亚硝酸盐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ascii="仿宋" w:hAnsi="仿宋" w:eastAsia="仿宋" w:cs="仿宋"/>
          <w:sz w:val="32"/>
          <w:szCs w:val="32"/>
        </w:rPr>
        <w:t>NO</w:t>
      </w:r>
      <w:r>
        <w:rPr>
          <w:rFonts w:ascii="Cambria Math" w:hAnsi="Cambria Math" w:eastAsia="仿宋" w:cs="Cambria Math"/>
          <w:sz w:val="32"/>
          <w:szCs w:val="32"/>
        </w:rPr>
        <w:t>₂¯</w:t>
      </w:r>
      <w:r>
        <w:rPr>
          <w:rFonts w:hint="eastAsia" w:ascii="仿宋" w:hAnsi="仿宋" w:eastAsia="仿宋" w:cs="仿宋"/>
          <w:sz w:val="32"/>
          <w:szCs w:val="32"/>
        </w:rPr>
        <w:t>计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、游离余氯。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、方便食品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抽检依据《食品安全国家标准 </w:t>
      </w:r>
      <w:r>
        <w:rPr>
          <w:rFonts w:ascii="Verdana" w:hAnsi="Verdana" w:cs="Verdana"/>
          <w:color w:val="333333"/>
          <w:sz w:val="30"/>
          <w:szCs w:val="30"/>
          <w:shd w:val="clear" w:color="auto" w:fill="FFFFFF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</w:rPr>
        <w:t>》（GB 2760-2014）、《</w:t>
      </w:r>
      <w:r>
        <w:rPr>
          <w:color w:val="333333"/>
          <w:sz w:val="30"/>
          <w:szCs w:val="30"/>
        </w:rPr>
        <w:t>食品安全国家标准 食品中致病菌限量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ascii="仿宋" w:hAnsi="仿宋" w:eastAsia="仿宋" w:cs="仿宋"/>
          <w:sz w:val="32"/>
          <w:szCs w:val="32"/>
        </w:rPr>
        <w:t>GB 29921-2013</w:t>
      </w:r>
      <w:r>
        <w:rPr>
          <w:rFonts w:hint="eastAsia" w:ascii="仿宋" w:hAnsi="仿宋" w:eastAsia="仿宋" w:cs="仿宋"/>
          <w:sz w:val="32"/>
          <w:szCs w:val="32"/>
        </w:rPr>
        <w:t>）及产品明示标准等。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调味面制品抽检项目包括苯甲酸及其钠盐（以苯甲酸计）、大肠菌群(n=5)、过氧化值（以脂肪计）、金黄色葡萄球菌（n=5）、菌落总数(n=5)、霉菌、沙门氏菌（n=5）、山梨酸及其钾盐（以山梨酸计）、酸价（以脂肪计）（KOH）、脱氢乙酸及其钠盐（以脱氢乙酸计）。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、蜂产品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</w:t>
      </w:r>
      <w:r>
        <w:rPr>
          <w:color w:val="333333"/>
          <w:sz w:val="30"/>
          <w:szCs w:val="30"/>
        </w:rPr>
        <w:t>食品安全国家标准 蜂蜜</w:t>
      </w:r>
      <w:r>
        <w:rPr>
          <w:rFonts w:hint="eastAsia" w:ascii="仿宋" w:hAnsi="仿宋" w:eastAsia="仿宋" w:cs="仿宋"/>
          <w:sz w:val="32"/>
          <w:szCs w:val="32"/>
        </w:rPr>
        <w:t>》（GB 14963-2011）、《</w:t>
      </w:r>
      <w:r>
        <w:rPr>
          <w:color w:val="333333"/>
          <w:sz w:val="30"/>
          <w:szCs w:val="30"/>
        </w:rPr>
        <w:t>食品安全国家标准 食品中兽药最大残留限量</w:t>
      </w:r>
      <w:r>
        <w:rPr>
          <w:rFonts w:hint="eastAsia" w:ascii="仿宋" w:hAnsi="仿宋" w:eastAsia="仿宋" w:cs="仿宋"/>
          <w:sz w:val="32"/>
          <w:szCs w:val="32"/>
        </w:rPr>
        <w:t>》（GB 31650-2019）、农业农村部公告第250号、农业部公告第2292号。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蜂蜜抽检项目包括果糖、甲硝唑、菌落总数、氯霉素、霉菌、诺氟沙星、葡萄糖、氧氟沙星、蔗糖。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、糕点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</w:t>
      </w:r>
      <w:r>
        <w:rPr>
          <w:color w:val="333333"/>
          <w:sz w:val="30"/>
          <w:szCs w:val="30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</w:rPr>
        <w:t>）、《</w:t>
      </w:r>
      <w:r>
        <w:rPr>
          <w:color w:val="333333"/>
          <w:sz w:val="30"/>
          <w:szCs w:val="30"/>
        </w:rPr>
        <w:t>食品安全国家标准 糕点、面包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ascii="仿宋" w:hAnsi="仿宋" w:eastAsia="仿宋" w:cs="仿宋"/>
          <w:sz w:val="32"/>
          <w:szCs w:val="32"/>
        </w:rPr>
        <w:t>GB 7099-2015</w:t>
      </w:r>
      <w:r>
        <w:rPr>
          <w:rFonts w:hint="eastAsia" w:ascii="仿宋" w:hAnsi="仿宋" w:eastAsia="仿宋" w:cs="仿宋"/>
          <w:sz w:val="32"/>
          <w:szCs w:val="32"/>
        </w:rPr>
        <w:t>）、《</w:t>
      </w:r>
      <w:r>
        <w:rPr>
          <w:color w:val="333333"/>
          <w:sz w:val="30"/>
          <w:szCs w:val="30"/>
        </w:rPr>
        <w:t>食品安全国家标准 食品中致病菌限量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ascii="仿宋" w:hAnsi="仿宋" w:eastAsia="仿宋" w:cs="仿宋"/>
          <w:sz w:val="32"/>
          <w:szCs w:val="32"/>
        </w:rPr>
        <w:t>GB 29921-2013</w:t>
      </w:r>
      <w:r>
        <w:rPr>
          <w:rFonts w:hint="eastAsia" w:ascii="仿宋" w:hAnsi="仿宋" w:eastAsia="仿宋" w:cs="仿宋"/>
          <w:sz w:val="32"/>
          <w:szCs w:val="32"/>
        </w:rPr>
        <w:t>）、食品整治办〔2009〕5号。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糕点抽检项目包括苯甲酸及其钠盐（以苯甲酸计）、防腐剂混合使用时各自用量占其最大使用量的比例之和、富马酸二甲酯、过氧化值（以脂肪计）、菌落总数(n=5)、铝的残留量(干样品，以Al计)、沙门氏菌（n=5）、山梨酸及其钾盐（以山梨酸计）、酸价（以脂肪计）（KOH）、糖精钠（以糖精计）。</w:t>
      </w: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、餐饮食品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抽检依据《食品安全国家标准 </w:t>
      </w:r>
      <w:r>
        <w:rPr>
          <w:rFonts w:ascii="Verdana" w:hAnsi="Verdana" w:cs="Verdana"/>
          <w:color w:val="333333"/>
          <w:sz w:val="30"/>
          <w:szCs w:val="30"/>
          <w:shd w:val="clear" w:color="auto" w:fill="FFFFFF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</w:rPr>
        <w:t>》（GB 2760-2014）。</w:t>
      </w:r>
    </w:p>
    <w:p>
      <w:pPr>
        <w:spacing w:line="440" w:lineRule="exact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油炸面制品抽检项目包括铝的残留量(干样品，以Al计)。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1EF54DB"/>
    <w:rsid w:val="0005155D"/>
    <w:rsid w:val="00145088"/>
    <w:rsid w:val="002B279A"/>
    <w:rsid w:val="00303A23"/>
    <w:rsid w:val="00304915"/>
    <w:rsid w:val="00341BB6"/>
    <w:rsid w:val="004E5964"/>
    <w:rsid w:val="00546378"/>
    <w:rsid w:val="005D6805"/>
    <w:rsid w:val="00624EA9"/>
    <w:rsid w:val="0063284D"/>
    <w:rsid w:val="006854AC"/>
    <w:rsid w:val="00865C00"/>
    <w:rsid w:val="00872616"/>
    <w:rsid w:val="008B1B91"/>
    <w:rsid w:val="008B72F1"/>
    <w:rsid w:val="00A4208F"/>
    <w:rsid w:val="00A672D5"/>
    <w:rsid w:val="00B00686"/>
    <w:rsid w:val="00BC321D"/>
    <w:rsid w:val="00C04F58"/>
    <w:rsid w:val="00C67279"/>
    <w:rsid w:val="00CB31A8"/>
    <w:rsid w:val="00D52A33"/>
    <w:rsid w:val="00F6396B"/>
    <w:rsid w:val="00FA2AAA"/>
    <w:rsid w:val="01277657"/>
    <w:rsid w:val="01580EF0"/>
    <w:rsid w:val="03A838D5"/>
    <w:rsid w:val="0567504F"/>
    <w:rsid w:val="07EB147C"/>
    <w:rsid w:val="0A2505BC"/>
    <w:rsid w:val="0EC56FEA"/>
    <w:rsid w:val="11EF54DB"/>
    <w:rsid w:val="128F2827"/>
    <w:rsid w:val="129A2142"/>
    <w:rsid w:val="1373373F"/>
    <w:rsid w:val="14627A69"/>
    <w:rsid w:val="15E80DD9"/>
    <w:rsid w:val="187C357E"/>
    <w:rsid w:val="19F32051"/>
    <w:rsid w:val="1B591DA6"/>
    <w:rsid w:val="1BB9627F"/>
    <w:rsid w:val="1D1D38CA"/>
    <w:rsid w:val="1D41234E"/>
    <w:rsid w:val="1E031FB0"/>
    <w:rsid w:val="1E5C51C4"/>
    <w:rsid w:val="210D5C5D"/>
    <w:rsid w:val="214A1DB7"/>
    <w:rsid w:val="24C7444B"/>
    <w:rsid w:val="254E2CAE"/>
    <w:rsid w:val="260C095C"/>
    <w:rsid w:val="28F9231C"/>
    <w:rsid w:val="2D9F739D"/>
    <w:rsid w:val="2FD94FD4"/>
    <w:rsid w:val="32161A02"/>
    <w:rsid w:val="338C233E"/>
    <w:rsid w:val="33E51D8E"/>
    <w:rsid w:val="36FB547C"/>
    <w:rsid w:val="38897CBB"/>
    <w:rsid w:val="3A4C724D"/>
    <w:rsid w:val="3AAF0323"/>
    <w:rsid w:val="3C885698"/>
    <w:rsid w:val="3CED5833"/>
    <w:rsid w:val="477035F1"/>
    <w:rsid w:val="4A560B3F"/>
    <w:rsid w:val="4C20258C"/>
    <w:rsid w:val="4D4962E4"/>
    <w:rsid w:val="4F0133E7"/>
    <w:rsid w:val="4F991490"/>
    <w:rsid w:val="531E46CA"/>
    <w:rsid w:val="5595309F"/>
    <w:rsid w:val="56625C92"/>
    <w:rsid w:val="583E3DDC"/>
    <w:rsid w:val="59ED14DF"/>
    <w:rsid w:val="59F36BB9"/>
    <w:rsid w:val="5AAC03DD"/>
    <w:rsid w:val="5AEA18B6"/>
    <w:rsid w:val="5E375F29"/>
    <w:rsid w:val="5FE366F8"/>
    <w:rsid w:val="63D8370D"/>
    <w:rsid w:val="65FB7ABA"/>
    <w:rsid w:val="6A364A94"/>
    <w:rsid w:val="6B2B05B2"/>
    <w:rsid w:val="6B916080"/>
    <w:rsid w:val="6BEC2508"/>
    <w:rsid w:val="6D8E4D67"/>
    <w:rsid w:val="70F60347"/>
    <w:rsid w:val="71BC4480"/>
    <w:rsid w:val="74E52EC6"/>
    <w:rsid w:val="75E709EA"/>
    <w:rsid w:val="76275CCF"/>
    <w:rsid w:val="78B56F07"/>
    <w:rsid w:val="7A9C4910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6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6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6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6"/>
    <w:qFormat/>
    <w:uiPriority w:val="0"/>
  </w:style>
  <w:style w:type="character" w:customStyle="1" w:styleId="19">
    <w:name w:val="label13"/>
    <w:basedOn w:val="6"/>
    <w:qFormat/>
    <w:uiPriority w:val="0"/>
  </w:style>
  <w:style w:type="character" w:customStyle="1" w:styleId="20">
    <w:name w:val="hover11"/>
    <w:basedOn w:val="6"/>
    <w:qFormat/>
    <w:uiPriority w:val="0"/>
    <w:rPr>
      <w:shd w:val="clear" w:color="auto" w:fill="EEEEEE"/>
    </w:rPr>
  </w:style>
  <w:style w:type="character" w:customStyle="1" w:styleId="21">
    <w:name w:val="old"/>
    <w:basedOn w:val="6"/>
    <w:qFormat/>
    <w:uiPriority w:val="0"/>
    <w:rPr>
      <w:color w:val="999999"/>
    </w:rPr>
  </w:style>
  <w:style w:type="character" w:customStyle="1" w:styleId="22">
    <w:name w:val="new"/>
    <w:basedOn w:val="6"/>
    <w:qFormat/>
    <w:uiPriority w:val="0"/>
    <w:rPr>
      <w:color w:val="999999"/>
    </w:rPr>
  </w:style>
  <w:style w:type="character" w:customStyle="1" w:styleId="23">
    <w:name w:val="first-child"/>
    <w:basedOn w:val="6"/>
    <w:qFormat/>
    <w:uiPriority w:val="0"/>
  </w:style>
  <w:style w:type="character" w:customStyle="1" w:styleId="24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6"/>
    <w:qFormat/>
    <w:uiPriority w:val="0"/>
    <w:rPr>
      <w:shd w:val="clear" w:color="auto" w:fill="F6F6F6"/>
    </w:rPr>
  </w:style>
  <w:style w:type="character" w:customStyle="1" w:styleId="26">
    <w:name w:val="label"/>
    <w:basedOn w:val="6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6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6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6"/>
    <w:qFormat/>
    <w:uiPriority w:val="0"/>
  </w:style>
  <w:style w:type="character" w:customStyle="1" w:styleId="30">
    <w:name w:val="active"/>
    <w:basedOn w:val="6"/>
    <w:qFormat/>
    <w:uiPriority w:val="0"/>
    <w:rPr>
      <w:shd w:val="clear" w:color="auto" w:fill="F6F6F6"/>
    </w:rPr>
  </w:style>
  <w:style w:type="character" w:customStyle="1" w:styleId="31">
    <w:name w:val="label9"/>
    <w:basedOn w:val="6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6"/>
    <w:qFormat/>
    <w:uiPriority w:val="0"/>
    <w:rPr>
      <w:shd w:val="clear" w:color="auto" w:fill="EEEEEE"/>
    </w:rPr>
  </w:style>
  <w:style w:type="character" w:customStyle="1" w:styleId="33">
    <w:name w:val="页眉 Char"/>
    <w:basedOn w:val="6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328</Words>
  <Characters>1873</Characters>
  <Lines>15</Lines>
  <Paragraphs>4</Paragraphs>
  <TotalTime>0</TotalTime>
  <ScaleCrop>false</ScaleCrop>
  <LinksUpToDate>false</LinksUpToDate>
  <CharactersWithSpaces>2197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2021-01-20T01:55:04Z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