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kern w:val="0"/>
          <w:sz w:val="24"/>
        </w:rPr>
      </w:pPr>
    </w:p>
    <w:p>
      <w:pPr>
        <w:spacing w:line="440" w:lineRule="exact"/>
        <w:rPr>
          <w:rFonts w:ascii="仿宋" w:hAnsi="仿宋" w:eastAsia="仿宋" w:cs="仿宋"/>
          <w:bCs/>
          <w:sz w:val="32"/>
          <w:szCs w:val="32"/>
        </w:rPr>
      </w:pPr>
      <w:r>
        <w:rPr>
          <w:rFonts w:hint="eastAsia" w:ascii="仿宋" w:hAnsi="仿宋" w:eastAsia="仿宋" w:cs="仿宋"/>
          <w:bCs/>
          <w:sz w:val="32"/>
          <w:szCs w:val="32"/>
        </w:rPr>
        <w:t>附件1</w:t>
      </w:r>
    </w:p>
    <w:p>
      <w:pPr>
        <w:spacing w:line="520" w:lineRule="exact"/>
        <w:jc w:val="center"/>
        <w:rPr>
          <w:rStyle w:val="15"/>
          <w:rFonts w:ascii="仿宋" w:hAnsi="仿宋" w:eastAsia="仿宋" w:cs="仿宋"/>
          <w:b w:val="0"/>
          <w:sz w:val="44"/>
          <w:szCs w:val="44"/>
        </w:rPr>
      </w:pPr>
      <w:r>
        <w:rPr>
          <w:rStyle w:val="15"/>
          <w:rFonts w:hint="eastAsia" w:ascii="仿宋" w:hAnsi="仿宋" w:eastAsia="仿宋" w:cs="仿宋"/>
          <w:b w:val="0"/>
          <w:sz w:val="44"/>
          <w:szCs w:val="44"/>
        </w:rPr>
        <w:t>本次检验项目</w:t>
      </w:r>
    </w:p>
    <w:p>
      <w:pPr>
        <w:spacing w:line="440" w:lineRule="exact"/>
        <w:ind w:firstLine="640"/>
        <w:rPr>
          <w:rFonts w:ascii="仿宋" w:hAnsi="仿宋" w:eastAsia="仿宋" w:cs="仿宋"/>
          <w:sz w:val="32"/>
          <w:szCs w:val="32"/>
        </w:rPr>
      </w:pPr>
      <w:r>
        <w:rPr>
          <w:rFonts w:hint="eastAsia" w:ascii="仿宋" w:hAnsi="仿宋" w:eastAsia="仿宋" w:cs="仿宋"/>
          <w:b/>
          <w:sz w:val="32"/>
          <w:szCs w:val="32"/>
        </w:rPr>
        <w:t xml:space="preserve"> </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一、食用油、油脂及其制品</w:t>
      </w:r>
    </w:p>
    <w:p>
      <w:pPr>
        <w:spacing w:line="440" w:lineRule="exact"/>
        <w:ind w:firstLine="643" w:firstLineChars="200"/>
        <w:jc w:val="left"/>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firstLineChars="200"/>
        <w:rPr>
          <w:rFonts w:ascii="仿宋" w:hAnsi="仿宋" w:cs="仿宋"/>
          <w:b/>
          <w:sz w:val="32"/>
          <w:szCs w:val="32"/>
        </w:rPr>
      </w:pPr>
      <w:r>
        <w:rPr>
          <w:rFonts w:hint="eastAsia" w:ascii="仿宋" w:hAnsi="仿宋" w:eastAsia="仿宋" w:cs="仿宋"/>
          <w:sz w:val="32"/>
          <w:szCs w:val="32"/>
        </w:rPr>
        <w:t xml:space="preserve">抽检依据《食品安全国家标准 </w:t>
      </w:r>
      <w:r>
        <w:rPr>
          <w:rFonts w:hint="eastAsia" w:ascii="仿宋" w:hAnsi="仿宋" w:eastAsia="仿宋" w:cs="仿宋"/>
          <w:color w:val="333333"/>
          <w:sz w:val="32"/>
          <w:szCs w:val="32"/>
          <w:shd w:val="clear" w:color="auto" w:fill="FFFFFF"/>
        </w:rPr>
        <w:t>植物油</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GB 2716-2018）、</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花生油</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GB/T 1534-2017）、</w:t>
      </w:r>
      <w:r>
        <w:rPr>
          <w:rFonts w:hint="eastAsia" w:ascii="仿宋" w:hAnsi="仿宋" w:eastAsia="仿宋" w:cs="仿宋"/>
          <w:sz w:val="32"/>
          <w:szCs w:val="32"/>
        </w:rPr>
        <w:t xml:space="preserve">《食品安全国家标准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rFonts w:hint="eastAsia" w:ascii="仿宋" w:hAnsi="仿宋" w:eastAsia="仿宋" w:cs="仿宋"/>
          <w:color w:val="333333"/>
          <w:sz w:val="32"/>
          <w:szCs w:val="32"/>
          <w:shd w:val="clear" w:color="auto" w:fill="FFFFFF"/>
        </w:rPr>
        <w:t>。</w:t>
      </w:r>
    </w:p>
    <w:p>
      <w:pPr>
        <w:spacing w:line="440" w:lineRule="exact"/>
        <w:ind w:firstLine="64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1.食用植物调和油抽检项目包括苯并[α]芘、过氧化值、溶剂残留量、酸价(KOH)、特丁基对苯二酚（TBHQ）、乙基麦芽酚。</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、调味品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2760-2014）、食品整治办〔2008〕 3 号。</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ascii="仿宋" w:hAnsi="仿宋" w:eastAsia="仿宋" w:cs="仿宋"/>
          <w:sz w:val="32"/>
          <w:szCs w:val="32"/>
        </w:rPr>
      </w:pPr>
      <w:r>
        <w:rPr>
          <w:rFonts w:hint="eastAsia" w:ascii="仿宋" w:hAnsi="仿宋" w:eastAsia="仿宋" w:cs="仿宋"/>
          <w:sz w:val="32"/>
          <w:szCs w:val="32"/>
        </w:rPr>
        <w:t>1.辣椒酱抽检项目包括苯甲酸及其钠盐（以苯甲酸计）、防腐剂混合使用时各自用量占其最大使用量的比例之和、山梨酸及其钾盐（以山梨酸计）、糖精钠（以糖精计）、甜蜜素（以环己基氨基磺酸计）、脱氢乙酸及其钠盐（以脱氢乙酸计）。</w:t>
      </w:r>
    </w:p>
    <w:p>
      <w:pPr>
        <w:spacing w:line="440" w:lineRule="exact"/>
        <w:ind w:firstLine="642"/>
        <w:rPr>
          <w:rFonts w:hint="eastAsia" w:ascii="仿宋" w:hAnsi="仿宋" w:eastAsia="仿宋" w:cs="仿宋"/>
          <w:sz w:val="32"/>
          <w:szCs w:val="32"/>
        </w:rPr>
      </w:pPr>
      <w:r>
        <w:rPr>
          <w:rFonts w:hint="eastAsia" w:ascii="仿宋" w:hAnsi="仿宋" w:eastAsia="仿宋" w:cs="仿宋"/>
          <w:sz w:val="32"/>
          <w:szCs w:val="32"/>
        </w:rPr>
        <w:t>2.其他半固体调味料抽检项目包括苯甲酸及其钠盐（以苯甲酸计）、罗丹明B、糖精钠（以糖精计）、甜蜜素（以环己基氨基磺酸计）、脱氢乙酸及其钠盐（以脱氢乙酸计）。</w:t>
      </w:r>
    </w:p>
    <w:p>
      <w:pPr>
        <w:spacing w:line="440" w:lineRule="exact"/>
        <w:rPr>
          <w:rFonts w:ascii="仿宋" w:hAnsi="仿宋" w:eastAsia="仿宋" w:cs="仿宋"/>
          <w:b/>
          <w:bCs/>
          <w:sz w:val="32"/>
          <w:szCs w:val="32"/>
        </w:rPr>
      </w:pPr>
      <w:r>
        <w:rPr>
          <w:rFonts w:hint="eastAsia" w:ascii="仿宋" w:hAnsi="仿宋" w:eastAsia="仿宋" w:cs="仿宋"/>
          <w:b/>
          <w:sz w:val="32"/>
          <w:szCs w:val="32"/>
          <w:lang w:eastAsia="zh-CN"/>
        </w:rPr>
        <w:t>三</w:t>
      </w:r>
      <w:r>
        <w:rPr>
          <w:rFonts w:hint="eastAsia" w:ascii="仿宋" w:hAnsi="仿宋" w:eastAsia="仿宋" w:cs="仿宋"/>
          <w:b/>
          <w:bCs/>
          <w:sz w:val="32"/>
          <w:szCs w:val="32"/>
        </w:rPr>
        <w:t>、方便食品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w:t>
      </w:r>
      <w:r>
        <w:rPr>
          <w:color w:val="333333"/>
          <w:sz w:val="30"/>
          <w:szCs w:val="30"/>
        </w:rPr>
        <w:t>食品安全国家标准 方便面</w:t>
      </w:r>
      <w:r>
        <w:rPr>
          <w:rFonts w:hint="eastAsia" w:ascii="仿宋" w:hAnsi="仿宋" w:eastAsia="仿宋" w:cs="仿宋"/>
          <w:sz w:val="32"/>
          <w:szCs w:val="32"/>
        </w:rPr>
        <w:t>》（</w:t>
      </w:r>
      <w:r>
        <w:rPr>
          <w:rFonts w:ascii="仿宋" w:hAnsi="仿宋" w:eastAsia="仿宋" w:cs="仿宋"/>
          <w:sz w:val="32"/>
          <w:szCs w:val="32"/>
        </w:rPr>
        <w:t>GB 17400-2015</w:t>
      </w:r>
      <w:r>
        <w:rPr>
          <w:rFonts w:hint="eastAsia" w:ascii="仿宋" w:hAnsi="仿宋" w:eastAsia="仿宋" w:cs="仿宋"/>
          <w:sz w:val="32"/>
          <w:szCs w:val="32"/>
        </w:rPr>
        <w:t xml:space="preserve">）、《食品安全国家标准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color w:val="333333"/>
          <w:sz w:val="30"/>
          <w:szCs w:val="30"/>
        </w:rPr>
        <w:t>食品安全国家标准 食品中致病菌限量</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）及产品明示标准等。</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调味面制品抽检项目包括苯甲酸及其钠盐（以苯甲酸计）、大肠菌群(n=5)、过氧化值（以脂肪计）、金黄色葡萄球菌（n=5）、菌落总数(n=5)、霉菌、沙门氏菌（n=5）、山梨酸及其钾盐（以山梨酸计）、酸价（以脂肪计）（KOH）、脱氢乙酸及其钠盐（以脱氢乙酸计）。</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2、油炸面、非油炸面、方便米粉（米线）、方便粉丝抽检项目包括大肠菌群(n=5)、过氧化值（以脂肪计）、菌落总数(n=5)、酸价（以脂肪计）（KOH）。</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、酒类</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w:t>
      </w:r>
      <w:r>
        <w:rPr>
          <w:rFonts w:hint="eastAsia" w:ascii="仿宋" w:hAnsi="仿宋" w:eastAsia="仿宋" w:cs="仿宋"/>
          <w:color w:val="333333"/>
          <w:sz w:val="32"/>
          <w:szCs w:val="32"/>
          <w:shd w:val="clear" w:color="auto" w:fill="FFFFFF"/>
        </w:rPr>
        <w:t>食品安全国家标准 露酒</w:t>
      </w:r>
      <w:r>
        <w:rPr>
          <w:rFonts w:hint="eastAsia" w:ascii="仿宋" w:hAnsi="仿宋" w:eastAsia="仿宋" w:cs="仿宋"/>
          <w:sz w:val="32"/>
          <w:szCs w:val="32"/>
        </w:rPr>
        <w:t xml:space="preserve">》（GB/T27588-2011）、《食品安全国家标准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rFonts w:hint="eastAsia" w:ascii="仿宋" w:hAnsi="仿宋" w:eastAsia="仿宋" w:cs="仿宋"/>
          <w:color w:val="333333"/>
          <w:sz w:val="32"/>
          <w:szCs w:val="32"/>
          <w:shd w:val="clear" w:color="auto" w:fill="FFFFFF"/>
        </w:rPr>
        <w:t>中华人民共和国国家标准 葡萄酒</w:t>
      </w:r>
      <w:r>
        <w:rPr>
          <w:rFonts w:hint="eastAsia" w:ascii="仿宋" w:hAnsi="仿宋" w:eastAsia="仿宋" w:cs="仿宋"/>
          <w:sz w:val="32"/>
          <w:szCs w:val="32"/>
        </w:rPr>
        <w:t>》（GB/T15037-2006）、《</w:t>
      </w:r>
      <w:r>
        <w:rPr>
          <w:color w:val="333333"/>
          <w:sz w:val="30"/>
          <w:szCs w:val="30"/>
        </w:rPr>
        <w:t>食品安全国家标准 蒸馏酒及其配制酒</w:t>
      </w:r>
      <w:r>
        <w:rPr>
          <w:rFonts w:hint="eastAsia" w:ascii="仿宋" w:hAnsi="仿宋" w:eastAsia="仿宋" w:cs="仿宋"/>
          <w:sz w:val="32"/>
          <w:szCs w:val="32"/>
        </w:rPr>
        <w:t>》（</w:t>
      </w:r>
      <w:r>
        <w:rPr>
          <w:rFonts w:ascii="仿宋" w:hAnsi="仿宋" w:eastAsia="仿宋" w:cs="仿宋"/>
          <w:sz w:val="32"/>
          <w:szCs w:val="32"/>
        </w:rPr>
        <w:t>GB 2757-2012</w:t>
      </w:r>
      <w:r>
        <w:rPr>
          <w:rFonts w:hint="eastAsia" w:ascii="仿宋" w:hAnsi="仿宋" w:eastAsia="仿宋" w:cs="仿宋"/>
          <w:sz w:val="32"/>
          <w:szCs w:val="32"/>
        </w:rPr>
        <w:t>）、《</w:t>
      </w:r>
      <w:r>
        <w:rPr>
          <w:color w:val="333333"/>
          <w:sz w:val="30"/>
          <w:szCs w:val="30"/>
        </w:rPr>
        <w:t>浓香型白酒</w:t>
      </w:r>
      <w:r>
        <w:rPr>
          <w:rFonts w:hint="eastAsia" w:ascii="仿宋" w:hAnsi="仿宋" w:eastAsia="仿宋" w:cs="仿宋"/>
          <w:sz w:val="32"/>
          <w:szCs w:val="32"/>
        </w:rPr>
        <w:t>》（</w:t>
      </w:r>
      <w:r>
        <w:rPr>
          <w:rFonts w:ascii="仿宋" w:hAnsi="仿宋" w:eastAsia="仿宋" w:cs="仿宋"/>
          <w:sz w:val="32"/>
          <w:szCs w:val="32"/>
        </w:rPr>
        <w:t>GB/T 10781.1-2006</w:t>
      </w:r>
      <w:r>
        <w:rPr>
          <w:rFonts w:hint="eastAsia" w:ascii="仿宋" w:hAnsi="仿宋" w:eastAsia="仿宋" w:cs="仿宋"/>
          <w:sz w:val="32"/>
          <w:szCs w:val="32"/>
        </w:rPr>
        <w:t>）、《</w:t>
      </w:r>
      <w:r>
        <w:rPr>
          <w:color w:val="333333"/>
          <w:sz w:val="30"/>
          <w:szCs w:val="30"/>
        </w:rPr>
        <w:t>固液法白酒</w:t>
      </w:r>
      <w:r>
        <w:rPr>
          <w:rFonts w:hint="eastAsia" w:ascii="仿宋" w:hAnsi="仿宋" w:eastAsia="仿宋" w:cs="仿宋"/>
          <w:sz w:val="32"/>
          <w:szCs w:val="32"/>
        </w:rPr>
        <w:t>》（</w:t>
      </w:r>
      <w:r>
        <w:rPr>
          <w:rFonts w:ascii="仿宋" w:hAnsi="仿宋" w:eastAsia="仿宋" w:cs="仿宋"/>
          <w:sz w:val="32"/>
          <w:szCs w:val="32"/>
        </w:rPr>
        <w:t>GB/T 20822-2007</w:t>
      </w:r>
      <w:r>
        <w:rPr>
          <w:rFonts w:hint="eastAsia" w:ascii="仿宋" w:hAnsi="仿宋" w:eastAsia="仿宋" w:cs="仿宋"/>
          <w:sz w:val="32"/>
          <w:szCs w:val="32"/>
        </w:rPr>
        <w:t>）、《山葡萄酒》（</w:t>
      </w:r>
      <w:r>
        <w:rPr>
          <w:rFonts w:ascii="仿宋" w:hAnsi="仿宋" w:eastAsia="仿宋" w:cs="仿宋"/>
          <w:sz w:val="32"/>
          <w:szCs w:val="32"/>
        </w:rPr>
        <w:t>GB/T27586-2011</w:t>
      </w:r>
      <w:r>
        <w:rPr>
          <w:rFonts w:hint="eastAsia" w:ascii="仿宋" w:hAnsi="仿宋" w:eastAsia="仿宋" w:cs="仿宋"/>
          <w:sz w:val="32"/>
          <w:szCs w:val="32"/>
        </w:rPr>
        <w:t>）及产品明示标准等。</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1.白酒抽检项目包括甲醇、酒精度(乙醇浓度)、邻苯二甲酸二（2-乙基）己酯（DEHP）、邻苯二甲酸二正丁酯（DBP）、氰化物（以HCN计）、糖精钠（以糖精计）、甜蜜素（以环己基氨基磺酸计）。</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以发酵酒为酒基的配制酒抽检项目包括二氧化硫残留量、甲醇、酒精度(乙醇浓度)、氰化物（以HCN计）、糖精钠（以糖精计）、甜蜜素（以环己基氨基磺酸计）。</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以蒸馏酒及食用酒精为酒基的配制酒的抽检项目包括二氧化硫残留量、甲醇、酒精度(乙醇浓度)、氰化物（以HCN计）、糖精钠（以糖精计）、甜蜜素（以环己基氨基磺酸计）。</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、蔬菜制品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color w:val="333333"/>
          <w:sz w:val="30"/>
          <w:szCs w:val="30"/>
        </w:rPr>
        <w:t>食品安全国家标准 食品中污染物限量</w:t>
      </w:r>
      <w:r>
        <w:rPr>
          <w:rFonts w:hint="eastAsia" w:ascii="仿宋" w:hAnsi="仿宋" w:eastAsia="仿宋" w:cs="仿宋"/>
          <w:sz w:val="32"/>
          <w:szCs w:val="32"/>
        </w:rPr>
        <w:t>》（</w:t>
      </w:r>
      <w:r>
        <w:rPr>
          <w:rFonts w:ascii="仿宋" w:hAnsi="仿宋" w:eastAsia="仿宋" w:cs="仿宋"/>
          <w:sz w:val="32"/>
          <w:szCs w:val="32"/>
        </w:rPr>
        <w:t>GB 2762-2017</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酱腌菜抽检项目包括阿斯巴甜、防腐剂混合使用时各自用量占其最大使用量的比例之和、三氯蔗糖、糖精钠（以糖精计）、甜蜜素（以环己基氨基磺酸计）。</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、豆制品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color w:val="333333"/>
          <w:sz w:val="30"/>
          <w:szCs w:val="30"/>
        </w:rPr>
        <w:t>食品安全国家标准 豆制品</w:t>
      </w:r>
      <w:r>
        <w:rPr>
          <w:rFonts w:hint="eastAsia" w:ascii="仿宋" w:hAnsi="仿宋" w:eastAsia="仿宋" w:cs="仿宋"/>
          <w:sz w:val="32"/>
          <w:szCs w:val="32"/>
        </w:rPr>
        <w:t>》（</w:t>
      </w:r>
      <w:r>
        <w:rPr>
          <w:rFonts w:ascii="仿宋" w:hAnsi="仿宋" w:eastAsia="仿宋" w:cs="仿宋"/>
          <w:sz w:val="32"/>
          <w:szCs w:val="32"/>
        </w:rPr>
        <w:t>GB 2712-2014</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腐乳、豆豉、纳豆等抽检项目包括苯甲酸及其钠盐（以苯甲酸计）、大肠菌群(n=5)、铝的残留量(干样品，以Al计)、山梨酸及其钾盐（以山梨酸计）、糖精钠（以糖精计）、脱氢乙酸及其钠盐（以脱氢乙酸计）。</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、水产制品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color w:val="333333"/>
          <w:sz w:val="30"/>
          <w:szCs w:val="30"/>
        </w:rPr>
        <w:t>食品安全国家标准 食品中污染物限量</w:t>
      </w:r>
      <w:r>
        <w:rPr>
          <w:rFonts w:hint="eastAsia" w:ascii="仿宋" w:hAnsi="仿宋" w:eastAsia="仿宋" w:cs="仿宋"/>
          <w:sz w:val="32"/>
          <w:szCs w:val="32"/>
        </w:rPr>
        <w:t>》（</w:t>
      </w:r>
      <w:r>
        <w:rPr>
          <w:rFonts w:ascii="仿宋" w:hAnsi="仿宋" w:eastAsia="仿宋" w:cs="仿宋"/>
          <w:sz w:val="32"/>
          <w:szCs w:val="32"/>
        </w:rPr>
        <w:t>GB 2762-2017</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熟制动物性水产制品抽检项目包括N-二甲基亚硝胺、苯甲酸及其钠盐（以苯甲酸计）、山梨酸及其钾盐（以山梨酸计）、糖精钠（以糖精计）。</w:t>
      </w:r>
    </w:p>
    <w:p>
      <w:pPr>
        <w:spacing w:line="440" w:lineRule="exact"/>
        <w:ind w:firstLine="640" w:firstLineChars="200"/>
        <w:rPr>
          <w:rFonts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EF54DB"/>
    <w:rsid w:val="0005155D"/>
    <w:rsid w:val="00145088"/>
    <w:rsid w:val="00303A23"/>
    <w:rsid w:val="00341BB6"/>
    <w:rsid w:val="004E5964"/>
    <w:rsid w:val="00546378"/>
    <w:rsid w:val="005D6805"/>
    <w:rsid w:val="00624EA9"/>
    <w:rsid w:val="006854AC"/>
    <w:rsid w:val="00872616"/>
    <w:rsid w:val="008B1B91"/>
    <w:rsid w:val="008B72F1"/>
    <w:rsid w:val="00A4208F"/>
    <w:rsid w:val="00B00686"/>
    <w:rsid w:val="00BC321D"/>
    <w:rsid w:val="00C04F58"/>
    <w:rsid w:val="00C67279"/>
    <w:rsid w:val="00CB31A8"/>
    <w:rsid w:val="00D52A33"/>
    <w:rsid w:val="00F6396B"/>
    <w:rsid w:val="00FA2AAA"/>
    <w:rsid w:val="01277657"/>
    <w:rsid w:val="01580EF0"/>
    <w:rsid w:val="03A838D5"/>
    <w:rsid w:val="0567504F"/>
    <w:rsid w:val="07EB147C"/>
    <w:rsid w:val="0A2505BC"/>
    <w:rsid w:val="0EC56FEA"/>
    <w:rsid w:val="11EF54DB"/>
    <w:rsid w:val="128F2827"/>
    <w:rsid w:val="1373373F"/>
    <w:rsid w:val="14627A69"/>
    <w:rsid w:val="15E80DD9"/>
    <w:rsid w:val="187C357E"/>
    <w:rsid w:val="19F32051"/>
    <w:rsid w:val="1B591DA6"/>
    <w:rsid w:val="1BB9627F"/>
    <w:rsid w:val="1D41234E"/>
    <w:rsid w:val="1E031FB0"/>
    <w:rsid w:val="1E5C51C4"/>
    <w:rsid w:val="210D5C5D"/>
    <w:rsid w:val="214A1DB7"/>
    <w:rsid w:val="24C7444B"/>
    <w:rsid w:val="254E2CAE"/>
    <w:rsid w:val="260C095C"/>
    <w:rsid w:val="264B2F7B"/>
    <w:rsid w:val="28F9231C"/>
    <w:rsid w:val="2D9F739D"/>
    <w:rsid w:val="2FD94FD4"/>
    <w:rsid w:val="32161A02"/>
    <w:rsid w:val="338C233E"/>
    <w:rsid w:val="33E51D8E"/>
    <w:rsid w:val="36FB547C"/>
    <w:rsid w:val="38897CBB"/>
    <w:rsid w:val="3A4C724D"/>
    <w:rsid w:val="3AAF0323"/>
    <w:rsid w:val="3B433356"/>
    <w:rsid w:val="3C885698"/>
    <w:rsid w:val="3CED5833"/>
    <w:rsid w:val="44204CC5"/>
    <w:rsid w:val="477035F1"/>
    <w:rsid w:val="4A560B3F"/>
    <w:rsid w:val="4C20258C"/>
    <w:rsid w:val="4D4962E4"/>
    <w:rsid w:val="4E645CDF"/>
    <w:rsid w:val="4F0133E7"/>
    <w:rsid w:val="4F991490"/>
    <w:rsid w:val="531E46CA"/>
    <w:rsid w:val="5595309F"/>
    <w:rsid w:val="56625C92"/>
    <w:rsid w:val="583E3DDC"/>
    <w:rsid w:val="59F36BB9"/>
    <w:rsid w:val="5AAC03DD"/>
    <w:rsid w:val="5AEA18B6"/>
    <w:rsid w:val="5E375F29"/>
    <w:rsid w:val="5FE366F8"/>
    <w:rsid w:val="63D8370D"/>
    <w:rsid w:val="65FB7ABA"/>
    <w:rsid w:val="6A364A94"/>
    <w:rsid w:val="6A5745EE"/>
    <w:rsid w:val="6B2B05B2"/>
    <w:rsid w:val="6B916080"/>
    <w:rsid w:val="6BEC2508"/>
    <w:rsid w:val="6D8E4D67"/>
    <w:rsid w:val="70F60347"/>
    <w:rsid w:val="71BC4480"/>
    <w:rsid w:val="74E52EC6"/>
    <w:rsid w:val="75E709EA"/>
    <w:rsid w:val="76275CCF"/>
    <w:rsid w:val="78B56F07"/>
    <w:rsid w:val="797B3218"/>
    <w:rsid w:val="7B7B2338"/>
    <w:rsid w:val="7D5B37D1"/>
    <w:rsid w:val="7DEA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5"/>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35"/>
    <w:uiPriority w:val="0"/>
    <w:rPr>
      <w:sz w:val="18"/>
      <w:szCs w:val="18"/>
    </w:rPr>
  </w:style>
  <w:style w:type="paragraph" w:styleId="4">
    <w:name w:val="footer"/>
    <w:basedOn w:val="1"/>
    <w:link w:val="34"/>
    <w:qFormat/>
    <w:uiPriority w:val="0"/>
    <w:pPr>
      <w:tabs>
        <w:tab w:val="center" w:pos="4153"/>
        <w:tab w:val="right" w:pos="8306"/>
      </w:tabs>
      <w:snapToGrid w:val="0"/>
      <w:jc w:val="left"/>
    </w:pPr>
    <w:rPr>
      <w:sz w:val="18"/>
      <w:szCs w:val="18"/>
    </w:rPr>
  </w:style>
  <w:style w:type="paragraph" w:styleId="5">
    <w:name w:val="header"/>
    <w:basedOn w:val="1"/>
    <w:link w:val="33"/>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A4440"/>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ascii="Consolas" w:hAnsi="Consolas" w:eastAsia="Consolas" w:cs="Consolas"/>
      <w:sz w:val="21"/>
      <w:szCs w:val="21"/>
    </w:rPr>
  </w:style>
  <w:style w:type="character" w:customStyle="1" w:styleId="15">
    <w:name w:val="标题 2 Char"/>
    <w:basedOn w:val="6"/>
    <w:link w:val="2"/>
    <w:qFormat/>
    <w:uiPriority w:val="0"/>
    <w:rPr>
      <w:rFonts w:ascii="Arial" w:hAnsi="Arial" w:eastAsia="黑体"/>
      <w:b/>
      <w:sz w:val="32"/>
    </w:rPr>
  </w:style>
  <w:style w:type="character" w:customStyle="1" w:styleId="16">
    <w:name w:val="label10"/>
    <w:basedOn w:val="6"/>
    <w:qFormat/>
    <w:uiPriority w:val="0"/>
    <w:rPr>
      <w:color w:val="1AB394"/>
      <w:shd w:val="clear" w:color="auto" w:fill="FFFFFF"/>
    </w:rPr>
  </w:style>
  <w:style w:type="character" w:customStyle="1" w:styleId="17">
    <w:name w:val="label11"/>
    <w:basedOn w:val="6"/>
    <w:qFormat/>
    <w:uiPriority w:val="0"/>
    <w:rPr>
      <w:color w:val="1CC09F"/>
      <w:shd w:val="clear" w:color="auto" w:fill="FFFFFF"/>
    </w:rPr>
  </w:style>
  <w:style w:type="character" w:customStyle="1" w:styleId="18">
    <w:name w:val="label12"/>
    <w:basedOn w:val="6"/>
    <w:qFormat/>
    <w:uiPriority w:val="0"/>
  </w:style>
  <w:style w:type="character" w:customStyle="1" w:styleId="19">
    <w:name w:val="label13"/>
    <w:basedOn w:val="6"/>
    <w:qFormat/>
    <w:uiPriority w:val="0"/>
  </w:style>
  <w:style w:type="character" w:customStyle="1" w:styleId="20">
    <w:name w:val="hover11"/>
    <w:basedOn w:val="6"/>
    <w:qFormat/>
    <w:uiPriority w:val="0"/>
    <w:rPr>
      <w:shd w:val="clear" w:color="auto" w:fill="EEEEEE"/>
    </w:rPr>
  </w:style>
  <w:style w:type="character" w:customStyle="1" w:styleId="21">
    <w:name w:val="old"/>
    <w:basedOn w:val="6"/>
    <w:qFormat/>
    <w:uiPriority w:val="0"/>
    <w:rPr>
      <w:color w:val="999999"/>
    </w:rPr>
  </w:style>
  <w:style w:type="character" w:customStyle="1" w:styleId="22">
    <w:name w:val="new"/>
    <w:basedOn w:val="6"/>
    <w:qFormat/>
    <w:uiPriority w:val="0"/>
    <w:rPr>
      <w:color w:val="999999"/>
    </w:rPr>
  </w:style>
  <w:style w:type="character" w:customStyle="1" w:styleId="23">
    <w:name w:val="first-child"/>
    <w:basedOn w:val="6"/>
    <w:qFormat/>
    <w:uiPriority w:val="0"/>
  </w:style>
  <w:style w:type="character" w:customStyle="1" w:styleId="24">
    <w:name w:val="layui-this"/>
    <w:basedOn w:val="6"/>
    <w:qFormat/>
    <w:uiPriority w:val="0"/>
    <w:rPr>
      <w:bdr w:val="single" w:color="EEEEEE" w:sz="6" w:space="0"/>
      <w:shd w:val="clear" w:color="auto" w:fill="FFFFFF"/>
    </w:rPr>
  </w:style>
  <w:style w:type="character" w:customStyle="1" w:styleId="25">
    <w:name w:val="active7"/>
    <w:basedOn w:val="6"/>
    <w:qFormat/>
    <w:uiPriority w:val="0"/>
    <w:rPr>
      <w:shd w:val="clear" w:color="auto" w:fill="F6F6F6"/>
    </w:rPr>
  </w:style>
  <w:style w:type="character" w:customStyle="1" w:styleId="26">
    <w:name w:val="label"/>
    <w:basedOn w:val="6"/>
    <w:qFormat/>
    <w:uiPriority w:val="0"/>
    <w:rPr>
      <w:color w:val="1AB394"/>
      <w:shd w:val="clear" w:color="auto" w:fill="FFFFFF"/>
    </w:rPr>
  </w:style>
  <w:style w:type="character" w:customStyle="1" w:styleId="27">
    <w:name w:val="label1"/>
    <w:basedOn w:val="6"/>
    <w:qFormat/>
    <w:uiPriority w:val="0"/>
    <w:rPr>
      <w:color w:val="1CC09F"/>
      <w:shd w:val="clear" w:color="auto" w:fill="FFFFFF"/>
    </w:rPr>
  </w:style>
  <w:style w:type="character" w:customStyle="1" w:styleId="28">
    <w:name w:val="label2"/>
    <w:basedOn w:val="6"/>
    <w:qFormat/>
    <w:uiPriority w:val="0"/>
    <w:rPr>
      <w:bdr w:val="dashed" w:color="E7EAEC" w:sz="6" w:space="0"/>
      <w:shd w:val="clear" w:color="auto" w:fill="F3F3F4"/>
    </w:rPr>
  </w:style>
  <w:style w:type="character" w:customStyle="1" w:styleId="29">
    <w:name w:val="label3"/>
    <w:basedOn w:val="6"/>
    <w:qFormat/>
    <w:uiPriority w:val="0"/>
  </w:style>
  <w:style w:type="character" w:customStyle="1" w:styleId="30">
    <w:name w:val="active"/>
    <w:basedOn w:val="6"/>
    <w:qFormat/>
    <w:uiPriority w:val="0"/>
    <w:rPr>
      <w:shd w:val="clear" w:color="auto" w:fill="F6F6F6"/>
    </w:rPr>
  </w:style>
  <w:style w:type="character" w:customStyle="1" w:styleId="31">
    <w:name w:val="label9"/>
    <w:basedOn w:val="6"/>
    <w:qFormat/>
    <w:uiPriority w:val="0"/>
    <w:rPr>
      <w:color w:val="1CC09F"/>
      <w:shd w:val="clear" w:color="auto" w:fill="FFFFFF"/>
    </w:rPr>
  </w:style>
  <w:style w:type="character" w:customStyle="1" w:styleId="32">
    <w:name w:val="hover10"/>
    <w:basedOn w:val="6"/>
    <w:qFormat/>
    <w:uiPriority w:val="0"/>
    <w:rPr>
      <w:shd w:val="clear" w:color="auto" w:fill="EEEEEE"/>
    </w:rPr>
  </w:style>
  <w:style w:type="character" w:customStyle="1" w:styleId="33">
    <w:name w:val="页眉 Char"/>
    <w:basedOn w:val="6"/>
    <w:link w:val="5"/>
    <w:qFormat/>
    <w:uiPriority w:val="0"/>
    <w:rPr>
      <w:rFonts w:ascii="Calibri" w:hAnsi="Calibri"/>
      <w:kern w:val="2"/>
      <w:sz w:val="18"/>
      <w:szCs w:val="18"/>
    </w:rPr>
  </w:style>
  <w:style w:type="character" w:customStyle="1" w:styleId="34">
    <w:name w:val="页脚 Char"/>
    <w:basedOn w:val="6"/>
    <w:link w:val="4"/>
    <w:qFormat/>
    <w:uiPriority w:val="0"/>
    <w:rPr>
      <w:rFonts w:ascii="Calibri" w:hAnsi="Calibri"/>
      <w:kern w:val="2"/>
      <w:sz w:val="18"/>
      <w:szCs w:val="18"/>
    </w:rPr>
  </w:style>
  <w:style w:type="character" w:customStyle="1" w:styleId="35">
    <w:name w:val="批注框文本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649</Words>
  <Characters>3705</Characters>
  <Lines>30</Lines>
  <Paragraphs>8</Paragraphs>
  <TotalTime>0</TotalTime>
  <ScaleCrop>false</ScaleCrop>
  <LinksUpToDate>false</LinksUpToDate>
  <CharactersWithSpaces>4346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2019-05-07T08:39:00Z</dcterms:created>
  <dc:creator>♂屾屾</dc:creator>
  <cp:lastModifiedBy>维拉</cp:lastModifiedBy>
  <dcterms:modified xsi:type="dcterms:W3CDTF">2020-12-10T06:32:53Z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