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一、粮食加工品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、卫生部公告〔2011〕4 号。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1.小麦粉</w:t>
      </w:r>
      <w:r>
        <w:rPr>
          <w:rFonts w:hint="eastAsia" w:ascii="仿宋" w:hAnsi="仿宋" w:eastAsia="仿宋" w:cs="仿宋"/>
          <w:sz w:val="32"/>
          <w:szCs w:val="32"/>
        </w:rPr>
        <w:t>抽检项目包括镉（以Cd计）、苯并［a］芘、玉米赤霉烯酮、脱氧雪腐镰刀菌烯醇、赭曲霉毒素A、黄曲霉毒素B1、过氧化苯甲酰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2.大米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抽检项目包括铅（以Pb计）、镉（以Cd 计）、无机砷（以As计）、黄曲霉毒素B1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宋体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花生油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1534-2017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植物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1.菜籽油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酸价、过氧化值、铅 （以Pb 计）、苯并［a］芘、溶剂残留量、特丁基对苯二酚（TBHQ）、乙基麦芽酚。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2.大豆油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3.花生油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抽检项目包括酸价、过氧化值、黄曲霉毒素B1、苯并［a］芘、溶剂残留量、特丁基对苯二酚（TBHQ）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4.食用植物调和油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抽检项目包括酸价、过氧化值、苯并［a］ 花、溶剂残留量、特丁基对苯二酚（TBHQ）、乙基麦芽酚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5.玉米油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抽检项目包括酸价、过氧化值、黄曲霉毒素B1、苯并［a］芘、溶剂残留量、特丁基对苯二酚（TBHQ）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三、乳制品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号、农业部公告第 235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1.发酵乳抽检项目包括脂肪、蛋白质、酸度、三聚氰胺、山梨酸及其钾盐 （以山梨酸计）、大肠菌群*5、酵母、霉菌、金黄色葡萄球菌*5、沙门氏菌*5。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2.灭菌乳抽检项目包括蛋白质、非脂乳固体、（总固体）、（蔗糖）、酸度、脂肪、三聚氰胺、商业无菌。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3.调制乳抽检项目包括蛋白质、三聚氰胺、商业无菌。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EC2508"/>
    <w:rsid w:val="6D8E4D67"/>
    <w:rsid w:val="6DDA0902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2020-11-12T01:06:20Z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