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kern w:val="0"/>
          <w:sz w:val="24"/>
        </w:rPr>
      </w:pPr>
    </w:p>
    <w:p>
      <w:pPr>
        <w:spacing w:line="440" w:lineRule="exact"/>
        <w:rPr>
          <w:rFonts w:ascii="仿宋" w:hAnsi="仿宋" w:eastAsia="仿宋" w:cs="仿宋"/>
          <w:bCs/>
          <w:sz w:val="32"/>
          <w:szCs w:val="32"/>
        </w:rPr>
      </w:pPr>
      <w:r>
        <w:rPr>
          <w:rFonts w:hint="eastAsia" w:ascii="仿宋" w:hAnsi="仿宋" w:eastAsia="仿宋" w:cs="仿宋"/>
          <w:bCs/>
          <w:sz w:val="32"/>
          <w:szCs w:val="32"/>
        </w:rPr>
        <w:t>附件1</w:t>
      </w:r>
    </w:p>
    <w:p>
      <w:pPr>
        <w:spacing w:line="520" w:lineRule="exact"/>
        <w:jc w:val="center"/>
        <w:rPr>
          <w:rStyle w:val="15"/>
          <w:rFonts w:ascii="仿宋" w:hAnsi="仿宋" w:eastAsia="仿宋" w:cs="仿宋"/>
          <w:b w:val="0"/>
          <w:sz w:val="44"/>
          <w:szCs w:val="44"/>
        </w:rPr>
      </w:pPr>
      <w:r>
        <w:rPr>
          <w:rStyle w:val="15"/>
          <w:rFonts w:hint="eastAsia" w:ascii="仿宋" w:hAnsi="仿宋" w:eastAsia="仿宋" w:cs="仿宋"/>
          <w:b w:val="0"/>
          <w:sz w:val="44"/>
          <w:szCs w:val="44"/>
        </w:rPr>
        <w:t>本次检验项目</w:t>
      </w:r>
    </w:p>
    <w:p>
      <w:pPr>
        <w:spacing w:line="440" w:lineRule="exact"/>
        <w:ind w:firstLine="640"/>
        <w:rPr>
          <w:rFonts w:ascii="仿宋" w:hAnsi="仿宋" w:eastAsia="仿宋" w:cs="仿宋"/>
          <w:sz w:val="32"/>
          <w:szCs w:val="32"/>
        </w:rPr>
      </w:pPr>
      <w:r>
        <w:rPr>
          <w:rFonts w:hint="eastAsia" w:ascii="仿宋" w:hAnsi="仿宋" w:eastAsia="仿宋" w:cs="仿宋"/>
          <w:b/>
          <w:sz w:val="32"/>
          <w:szCs w:val="32"/>
        </w:rPr>
        <w:t xml:space="preserve"> </w:t>
      </w:r>
    </w:p>
    <w:p>
      <w:pPr>
        <w:spacing w:line="4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一、粮食加工品</w:t>
      </w:r>
    </w:p>
    <w:p>
      <w:pPr>
        <w:spacing w:line="440" w:lineRule="exact"/>
        <w:ind w:firstLine="643" w:firstLineChars="200"/>
        <w:jc w:val="left"/>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《食品安全国家标准</w:t>
      </w:r>
      <w:r>
        <w:rPr>
          <w:rFonts w:hint="eastAsia" w:ascii="仿宋" w:hAnsi="仿宋" w:eastAsia="仿宋" w:cs="仿宋"/>
          <w:color w:val="333333"/>
          <w:sz w:val="32"/>
          <w:szCs w:val="32"/>
          <w:shd w:val="clear" w:color="auto" w:fill="FFFFFF"/>
        </w:rPr>
        <w:t>食品中真菌毒素限量</w:t>
      </w:r>
      <w:r>
        <w:rPr>
          <w:rFonts w:hint="eastAsia" w:ascii="仿宋" w:hAnsi="仿宋" w:eastAsia="仿宋" w:cs="仿宋"/>
          <w:sz w:val="32"/>
          <w:szCs w:val="32"/>
        </w:rPr>
        <w:t>》（GB 2761-2017）</w:t>
      </w:r>
    </w:p>
    <w:p>
      <w:pPr>
        <w:spacing w:line="440" w:lineRule="exact"/>
        <w:ind w:firstLine="64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firstLineChars="200"/>
      </w:pPr>
      <w:r>
        <w:rPr>
          <w:rFonts w:hint="eastAsia" w:ascii="仿宋" w:hAnsi="仿宋" w:eastAsia="仿宋" w:cs="仿宋"/>
          <w:sz w:val="32"/>
          <w:szCs w:val="32"/>
        </w:rPr>
        <w:t>1.玉米粉、玉米片、玉米渣抽检项目包括黄曲霉毒素</w:t>
      </w:r>
      <w:r>
        <w:rPr>
          <w:rFonts w:ascii="仿宋" w:hAnsi="仿宋" w:eastAsia="仿宋" w:cs="仿宋"/>
          <w:sz w:val="32"/>
          <w:szCs w:val="32"/>
        </w:rPr>
        <w:t xml:space="preserve"> B</w:t>
      </w:r>
      <w:r>
        <w:rPr>
          <w:rFonts w:ascii="Cambria Math" w:hAnsi="Cambria Math" w:eastAsia="仿宋" w:cs="Cambria Math"/>
          <w:sz w:val="32"/>
          <w:szCs w:val="32"/>
        </w:rPr>
        <w:t>₁</w:t>
      </w:r>
      <w:r>
        <w:rPr>
          <w:rFonts w:hint="eastAsia" w:ascii="仿宋" w:hAnsi="仿宋" w:eastAsia="仿宋" w:cs="仿宋"/>
          <w:sz w:val="32"/>
          <w:szCs w:val="32"/>
        </w:rPr>
        <w:t>、玉米赤霉烯酮、赭曲霉毒素</w:t>
      </w:r>
      <w:r>
        <w:rPr>
          <w:rFonts w:ascii="仿宋" w:hAnsi="仿宋" w:eastAsia="仿宋" w:cs="仿宋"/>
          <w:sz w:val="32"/>
          <w:szCs w:val="32"/>
        </w:rPr>
        <w:t xml:space="preserve"> A</w:t>
      </w:r>
      <w:r>
        <w:rPr>
          <w:rFonts w:hint="eastAsia" w:ascii="仿宋" w:hAnsi="仿宋" w:eastAsia="仿宋" w:cs="仿宋"/>
          <w:sz w:val="32"/>
          <w:szCs w:val="32"/>
        </w:rPr>
        <w:t>。</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二、食用油、油脂及其制品</w:t>
      </w:r>
    </w:p>
    <w:p>
      <w:pPr>
        <w:spacing w:line="440" w:lineRule="exact"/>
        <w:ind w:firstLine="643" w:firstLineChars="200"/>
        <w:jc w:val="left"/>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hint="eastAsia" w:ascii="仿宋" w:hAnsi="仿宋" w:eastAsia="仿宋" w:cs="仿宋"/>
          <w:color w:val="333333"/>
          <w:sz w:val="32"/>
          <w:szCs w:val="32"/>
          <w:shd w:val="clear" w:color="auto" w:fill="FFFFFF"/>
        </w:rPr>
        <w:t>植物油</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GB 2716-2018）、</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花生油</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GB/T 1534-2017）、</w:t>
      </w:r>
      <w:r>
        <w:rPr>
          <w:rFonts w:hint="eastAsia" w:ascii="仿宋" w:hAnsi="仿宋" w:eastAsia="仿宋" w:cs="仿宋"/>
          <w:sz w:val="32"/>
          <w:szCs w:val="32"/>
        </w:rPr>
        <w:t xml:space="preserve">《食品安全国家标准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2760-2014）、《食品安全国家标准</w:t>
      </w:r>
      <w:r>
        <w:rPr>
          <w:rFonts w:hint="eastAsia" w:ascii="仿宋" w:hAnsi="仿宋" w:eastAsia="仿宋" w:cs="仿宋"/>
          <w:color w:val="333333"/>
          <w:sz w:val="32"/>
          <w:szCs w:val="32"/>
          <w:shd w:val="clear" w:color="auto" w:fill="FFFFFF"/>
        </w:rPr>
        <w:t>食品中真菌毒素限量</w:t>
      </w:r>
      <w:r>
        <w:rPr>
          <w:rFonts w:hint="eastAsia" w:ascii="仿宋" w:hAnsi="仿宋" w:eastAsia="仿宋" w:cs="仿宋"/>
          <w:sz w:val="32"/>
          <w:szCs w:val="32"/>
        </w:rPr>
        <w:t>》（GB 2761-2017）</w:t>
      </w:r>
      <w:r>
        <w:rPr>
          <w:rFonts w:hint="eastAsia" w:ascii="仿宋" w:hAnsi="仿宋" w:eastAsia="仿宋" w:cs="仿宋"/>
          <w:color w:val="333333"/>
          <w:sz w:val="32"/>
          <w:szCs w:val="32"/>
          <w:shd w:val="clear" w:color="auto" w:fill="FFFFFF"/>
        </w:rPr>
        <w:t>。</w:t>
      </w:r>
    </w:p>
    <w:p>
      <w:pPr>
        <w:spacing w:line="440" w:lineRule="exact"/>
        <w:ind w:firstLine="64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1.花生油抽检项目包括苯并</w:t>
      </w:r>
      <w:r>
        <w:rPr>
          <w:rFonts w:ascii="仿宋" w:hAnsi="仿宋" w:eastAsia="仿宋" w:cs="仿宋"/>
          <w:sz w:val="32"/>
          <w:szCs w:val="32"/>
        </w:rPr>
        <w:t>[α]</w:t>
      </w:r>
      <w:r>
        <w:rPr>
          <w:rFonts w:hint="eastAsia" w:ascii="仿宋" w:hAnsi="仿宋" w:eastAsia="仿宋" w:cs="仿宋"/>
          <w:sz w:val="32"/>
          <w:szCs w:val="32"/>
        </w:rPr>
        <w:t>芘、过氧化值、黄曲霉毒素</w:t>
      </w:r>
      <w:r>
        <w:rPr>
          <w:rFonts w:ascii="仿宋" w:hAnsi="仿宋" w:eastAsia="仿宋" w:cs="仿宋"/>
          <w:sz w:val="32"/>
          <w:szCs w:val="32"/>
        </w:rPr>
        <w:t xml:space="preserve"> B</w:t>
      </w:r>
      <w:r>
        <w:rPr>
          <w:rFonts w:ascii="Cambria Math" w:hAnsi="Cambria Math" w:eastAsia="仿宋" w:cs="Cambria Math"/>
          <w:sz w:val="32"/>
          <w:szCs w:val="32"/>
        </w:rPr>
        <w:t>₁</w:t>
      </w:r>
      <w:r>
        <w:rPr>
          <w:rFonts w:hint="eastAsia" w:ascii="仿宋" w:hAnsi="仿宋" w:eastAsia="仿宋" w:cs="仿宋"/>
          <w:sz w:val="32"/>
          <w:szCs w:val="32"/>
        </w:rPr>
        <w:t>、溶剂残留量、酸价</w:t>
      </w:r>
      <w:r>
        <w:rPr>
          <w:rFonts w:ascii="仿宋" w:hAnsi="仿宋" w:eastAsia="仿宋" w:cs="仿宋"/>
          <w:sz w:val="32"/>
          <w:szCs w:val="32"/>
        </w:rPr>
        <w:t>(KOH)</w:t>
      </w:r>
      <w:r>
        <w:rPr>
          <w:rFonts w:hint="eastAsia" w:ascii="仿宋" w:hAnsi="仿宋" w:eastAsia="仿宋" w:cs="仿宋"/>
          <w:sz w:val="32"/>
          <w:szCs w:val="32"/>
        </w:rPr>
        <w:t>、特丁基对苯二酚（</w:t>
      </w:r>
      <w:r>
        <w:rPr>
          <w:rFonts w:ascii="仿宋" w:hAnsi="仿宋" w:eastAsia="仿宋" w:cs="仿宋"/>
          <w:sz w:val="32"/>
          <w:szCs w:val="32"/>
        </w:rPr>
        <w:t>TBHQ</w:t>
      </w:r>
      <w:r>
        <w:rPr>
          <w:rFonts w:hint="eastAsia" w:ascii="仿宋" w:hAnsi="仿宋" w:eastAsia="仿宋" w:cs="仿宋"/>
          <w:sz w:val="32"/>
          <w:szCs w:val="32"/>
        </w:rPr>
        <w:t>）。</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三、肉制品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2760-2014）、整顿办函〔2011〕1号、《</w:t>
      </w:r>
      <w:r>
        <w:rPr>
          <w:color w:val="333333"/>
          <w:sz w:val="30"/>
          <w:szCs w:val="30"/>
        </w:rPr>
        <w:t>食品安全国家标准 熟肉制品</w:t>
      </w:r>
      <w:r>
        <w:rPr>
          <w:rFonts w:hint="eastAsia" w:ascii="仿宋" w:hAnsi="仿宋" w:eastAsia="仿宋" w:cs="仿宋"/>
          <w:sz w:val="32"/>
          <w:szCs w:val="32"/>
        </w:rPr>
        <w:t>》（</w:t>
      </w:r>
      <w:r>
        <w:rPr>
          <w:rFonts w:ascii="仿宋" w:hAnsi="仿宋" w:eastAsia="仿宋" w:cs="仿宋"/>
          <w:sz w:val="32"/>
          <w:szCs w:val="32"/>
        </w:rPr>
        <w:t>GB 2726-2016</w:t>
      </w:r>
      <w:r>
        <w:rPr>
          <w:rFonts w:hint="eastAsia" w:ascii="仿宋" w:hAnsi="仿宋" w:eastAsia="仿宋" w:cs="仿宋"/>
          <w:sz w:val="32"/>
          <w:szCs w:val="32"/>
        </w:rPr>
        <w:t>）、《</w:t>
      </w:r>
      <w:r>
        <w:rPr>
          <w:color w:val="333333"/>
          <w:sz w:val="30"/>
          <w:szCs w:val="30"/>
        </w:rPr>
        <w:t>食品安全国家标准 食品中致病菌限量</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ascii="仿宋" w:hAnsi="仿宋" w:eastAsia="仿宋" w:cs="仿宋"/>
          <w:sz w:val="32"/>
          <w:szCs w:val="32"/>
        </w:rPr>
      </w:pPr>
      <w:r>
        <w:rPr>
          <w:rFonts w:hint="eastAsia" w:ascii="仿宋" w:hAnsi="仿宋" w:eastAsia="仿宋" w:cs="仿宋"/>
          <w:sz w:val="32"/>
          <w:szCs w:val="32"/>
        </w:rPr>
        <w:t>1.酱卤肉制品抽检项目包括苯甲酸及其钠盐（以苯甲酸计）、大肠菌群(n=5)、菌落总数(n=5)、氯霉素、沙门氏菌（n=5）、山梨酸及其钾盐（以山梨酸计）、亚硝酸盐(以亚硝酸钠计)、胭脂红。</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四、乳制品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抽检依据《食品安全国家标准发酵乳》（</w:t>
      </w:r>
      <w:r>
        <w:rPr>
          <w:rFonts w:ascii="仿宋" w:hAnsi="仿宋" w:eastAsia="仿宋" w:cs="仿宋"/>
          <w:sz w:val="32"/>
          <w:szCs w:val="32"/>
        </w:rPr>
        <w:t>GB</w:t>
      </w:r>
      <w:r>
        <w:rPr>
          <w:rFonts w:hint="eastAsia" w:ascii="仿宋" w:hAnsi="仿宋" w:eastAsia="仿宋" w:cs="仿宋"/>
          <w:sz w:val="32"/>
          <w:szCs w:val="32"/>
        </w:rPr>
        <w:t xml:space="preserve"> </w:t>
      </w:r>
      <w:r>
        <w:rPr>
          <w:rFonts w:ascii="仿宋" w:hAnsi="仿宋" w:eastAsia="仿宋" w:cs="仿宋"/>
          <w:sz w:val="32"/>
          <w:szCs w:val="32"/>
        </w:rPr>
        <w:t>19302-2010</w:t>
      </w:r>
      <w:r>
        <w:rPr>
          <w:rFonts w:hint="eastAsia" w:ascii="仿宋" w:hAnsi="仿宋" w:eastAsia="仿宋" w:cs="仿宋"/>
          <w:sz w:val="32"/>
          <w:szCs w:val="32"/>
        </w:rPr>
        <w:t>）、卫生部、工业和信息化部、农业部、工商总局质检总局公告 2011 年第 10 号、农业部公告第 235 号。</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ascii="仿宋" w:hAnsi="仿宋" w:eastAsia="仿宋" w:cs="仿宋"/>
          <w:sz w:val="32"/>
          <w:szCs w:val="32"/>
        </w:rPr>
      </w:pPr>
      <w:r>
        <w:rPr>
          <w:rFonts w:hint="eastAsia" w:ascii="仿宋" w:hAnsi="仿宋" w:eastAsia="仿宋" w:cs="仿宋"/>
          <w:sz w:val="32"/>
          <w:szCs w:val="32"/>
        </w:rPr>
        <w:t>1.发酵乳抽检项目包括大肠菌群(n=5)、蛋白质、酵母菌、金黄色葡萄球菌（n=5）、霉菌、三聚氰胺、沙门氏菌（n=5）、酸度、脂肪。</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五、饮料</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抽检依据《食品安全国家标准包装饮用水》（GB 19298-2014）、《</w:t>
      </w:r>
      <w:r>
        <w:rPr>
          <w:color w:val="333333"/>
          <w:sz w:val="30"/>
          <w:szCs w:val="30"/>
        </w:rPr>
        <w:t>食品安全国家标准 食品中污染物限量</w:t>
      </w:r>
      <w:r>
        <w:rPr>
          <w:rFonts w:hint="eastAsia" w:ascii="仿宋" w:hAnsi="仿宋" w:eastAsia="仿宋" w:cs="仿宋"/>
          <w:sz w:val="32"/>
          <w:szCs w:val="32"/>
        </w:rPr>
        <w:t>》（</w:t>
      </w:r>
      <w:r>
        <w:rPr>
          <w:rFonts w:ascii="仿宋" w:hAnsi="仿宋" w:eastAsia="仿宋" w:cs="仿宋"/>
          <w:sz w:val="32"/>
          <w:szCs w:val="32"/>
        </w:rPr>
        <w:t>GB 2762-2017</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饮用纯净水抽检项目包括大肠菌群</w:t>
      </w:r>
      <w:r>
        <w:rPr>
          <w:rFonts w:ascii="仿宋" w:hAnsi="仿宋" w:eastAsia="仿宋" w:cs="仿宋"/>
          <w:sz w:val="32"/>
          <w:szCs w:val="32"/>
        </w:rPr>
        <w:t>(n=5)</w:t>
      </w:r>
      <w:r>
        <w:rPr>
          <w:rFonts w:hint="eastAsia" w:ascii="仿宋" w:hAnsi="仿宋" w:eastAsia="仿宋" w:cs="仿宋"/>
          <w:sz w:val="32"/>
          <w:szCs w:val="32"/>
        </w:rPr>
        <w:t>、耗氧量（以</w:t>
      </w:r>
      <w:r>
        <w:rPr>
          <w:rFonts w:ascii="仿宋" w:hAnsi="仿宋" w:eastAsia="仿宋" w:cs="仿宋"/>
          <w:sz w:val="32"/>
          <w:szCs w:val="32"/>
        </w:rPr>
        <w:t>O</w:t>
      </w:r>
      <w:r>
        <w:rPr>
          <w:rFonts w:ascii="Cambria Math" w:hAnsi="Cambria Math" w:eastAsia="仿宋" w:cs="Cambria Math"/>
          <w:sz w:val="32"/>
          <w:szCs w:val="32"/>
        </w:rPr>
        <w:t>₂</w:t>
      </w:r>
      <w:r>
        <w:rPr>
          <w:rFonts w:hint="eastAsia" w:ascii="仿宋" w:hAnsi="仿宋" w:eastAsia="仿宋" w:cs="仿宋"/>
          <w:sz w:val="32"/>
          <w:szCs w:val="32"/>
        </w:rPr>
        <w:t>计）、三氯甲烷、铜绿假单胞菌（</w:t>
      </w:r>
      <w:r>
        <w:rPr>
          <w:rFonts w:ascii="仿宋" w:hAnsi="仿宋" w:eastAsia="仿宋" w:cs="仿宋"/>
          <w:sz w:val="32"/>
          <w:szCs w:val="32"/>
        </w:rPr>
        <w:t>n=5</w:t>
      </w:r>
      <w:r>
        <w:rPr>
          <w:rFonts w:hint="eastAsia" w:ascii="仿宋" w:hAnsi="仿宋" w:eastAsia="仿宋" w:cs="仿宋"/>
          <w:sz w:val="32"/>
          <w:szCs w:val="32"/>
        </w:rPr>
        <w:t>）、溴酸盐、亚硝酸盐</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NO</w:t>
      </w:r>
      <w:r>
        <w:rPr>
          <w:rFonts w:ascii="Cambria Math" w:hAnsi="Cambria Math" w:eastAsia="仿宋" w:cs="Cambria Math"/>
          <w:sz w:val="32"/>
          <w:szCs w:val="32"/>
        </w:rPr>
        <w:t>₂¯</w:t>
      </w:r>
      <w:r>
        <w:rPr>
          <w:rFonts w:hint="eastAsia" w:ascii="仿宋" w:hAnsi="仿宋" w:eastAsia="仿宋" w:cs="仿宋"/>
          <w:sz w:val="32"/>
          <w:szCs w:val="32"/>
        </w:rPr>
        <w:t>计</w:t>
      </w:r>
      <w:r>
        <w:rPr>
          <w:rFonts w:ascii="仿宋" w:hAnsi="仿宋" w:eastAsia="仿宋" w:cs="仿宋"/>
          <w:sz w:val="32"/>
          <w:szCs w:val="32"/>
        </w:rPr>
        <w:t>)</w:t>
      </w:r>
      <w:r>
        <w:rPr>
          <w:rFonts w:hint="eastAsia" w:ascii="仿宋" w:hAnsi="仿宋" w:eastAsia="仿宋" w:cs="仿宋"/>
          <w:sz w:val="32"/>
          <w:szCs w:val="32"/>
        </w:rPr>
        <w:t>、游离余氯。</w:t>
      </w:r>
    </w:p>
    <w:p>
      <w:pPr>
        <w:spacing w:line="440" w:lineRule="exact"/>
        <w:rPr>
          <w:rFonts w:ascii="仿宋" w:hAnsi="仿宋" w:eastAsia="仿宋" w:cs="仿宋"/>
          <w:b/>
          <w:bCs/>
          <w:sz w:val="32"/>
          <w:szCs w:val="32"/>
        </w:rPr>
      </w:pPr>
      <w:r>
        <w:rPr>
          <w:rFonts w:hint="eastAsia" w:ascii="仿宋" w:hAnsi="仿宋" w:eastAsia="仿宋" w:cs="仿宋"/>
          <w:b/>
          <w:bCs/>
          <w:sz w:val="32"/>
          <w:szCs w:val="32"/>
        </w:rPr>
        <w:t>六、方便食品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color w:val="333333"/>
          <w:sz w:val="30"/>
          <w:szCs w:val="30"/>
        </w:rPr>
        <w:t>食品安全国家标准 食品中致病菌限量</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）及产品明示标准等。</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调味面制品抽检项目包括苯甲酸及其钠盐（以苯甲酸计）、大肠菌群(n=5)、过氧化值（以脂肪计）、金黄色葡萄球菌（n=5）、菌落总数(n=5)、霉菌、沙门氏菌（n=5）、山梨酸及其钾盐（以山梨酸计）、酸价（以脂肪计）（KOH）、脱氢乙酸及其钠盐（以脱氢乙酸计）。</w:t>
      </w:r>
    </w:p>
    <w:p>
      <w:pPr>
        <w:spacing w:line="440" w:lineRule="exact"/>
        <w:rPr>
          <w:rFonts w:ascii="仿宋" w:hAnsi="仿宋" w:eastAsia="仿宋" w:cs="仿宋"/>
          <w:b/>
          <w:bCs/>
          <w:sz w:val="32"/>
          <w:szCs w:val="32"/>
        </w:rPr>
      </w:pPr>
      <w:r>
        <w:rPr>
          <w:rFonts w:hint="eastAsia" w:ascii="仿宋" w:hAnsi="仿宋" w:eastAsia="仿宋" w:cs="仿宋"/>
          <w:b/>
          <w:bCs/>
          <w:sz w:val="32"/>
          <w:szCs w:val="32"/>
        </w:rPr>
        <w:t>七、豆制品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color w:val="333333"/>
          <w:sz w:val="30"/>
          <w:szCs w:val="30"/>
        </w:rPr>
        <w:t>食品安全国家标准 豆制品</w:t>
      </w:r>
      <w:r>
        <w:rPr>
          <w:rFonts w:hint="eastAsia" w:ascii="仿宋" w:hAnsi="仿宋" w:eastAsia="仿宋" w:cs="仿宋"/>
          <w:sz w:val="32"/>
          <w:szCs w:val="32"/>
        </w:rPr>
        <w:t>》（</w:t>
      </w:r>
      <w:r>
        <w:rPr>
          <w:rFonts w:ascii="仿宋" w:hAnsi="仿宋" w:eastAsia="仿宋" w:cs="仿宋"/>
          <w:sz w:val="32"/>
          <w:szCs w:val="32"/>
        </w:rPr>
        <w:t>GB 2712-2014</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腐乳、豆豉、纳豆等抽检项目包括苯甲酸及其钠盐（以苯甲酸计）、大肠菌群(n=5)、铝的残留量(干样品，以Al计)、山梨酸及其钾盐（以山梨酸计）、糖精钠（以糖精计）、脱氢乙酸及其钠盐（以脱氢乙酸计）。</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、糕点</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w:t>
      </w:r>
      <w:r>
        <w:rPr>
          <w:color w:val="333333"/>
          <w:sz w:val="30"/>
          <w:szCs w:val="30"/>
        </w:rPr>
        <w:t>食品安全国家标准 食品添加剂使用标准</w:t>
      </w:r>
      <w:r>
        <w:rPr>
          <w:rFonts w:hint="eastAsia" w:ascii="仿宋" w:hAnsi="仿宋" w:eastAsia="仿宋" w:cs="仿宋"/>
          <w:sz w:val="32"/>
          <w:szCs w:val="32"/>
        </w:rPr>
        <w:t>》（</w:t>
      </w:r>
      <w:r>
        <w:rPr>
          <w:rFonts w:ascii="仿宋" w:hAnsi="仿宋" w:eastAsia="仿宋" w:cs="仿宋"/>
          <w:sz w:val="32"/>
          <w:szCs w:val="32"/>
        </w:rPr>
        <w:t>GB 2760-2014</w:t>
      </w:r>
      <w:r>
        <w:rPr>
          <w:rFonts w:hint="eastAsia" w:ascii="仿宋" w:hAnsi="仿宋" w:eastAsia="仿宋" w:cs="仿宋"/>
          <w:sz w:val="32"/>
          <w:szCs w:val="32"/>
        </w:rPr>
        <w:t>）、《</w:t>
      </w:r>
      <w:r>
        <w:rPr>
          <w:color w:val="333333"/>
          <w:sz w:val="30"/>
          <w:szCs w:val="30"/>
        </w:rPr>
        <w:t>食品安全国家标准 糕点、面包</w:t>
      </w:r>
      <w:r>
        <w:rPr>
          <w:rFonts w:hint="eastAsia" w:ascii="仿宋" w:hAnsi="仿宋" w:eastAsia="仿宋" w:cs="仿宋"/>
          <w:sz w:val="32"/>
          <w:szCs w:val="32"/>
        </w:rPr>
        <w:t>》（</w:t>
      </w:r>
      <w:r>
        <w:rPr>
          <w:rFonts w:ascii="仿宋" w:hAnsi="仿宋" w:eastAsia="仿宋" w:cs="仿宋"/>
          <w:sz w:val="32"/>
          <w:szCs w:val="32"/>
        </w:rPr>
        <w:t>GB 7099-2015</w:t>
      </w:r>
      <w:r>
        <w:rPr>
          <w:rFonts w:hint="eastAsia" w:ascii="仿宋" w:hAnsi="仿宋" w:eastAsia="仿宋" w:cs="仿宋"/>
          <w:sz w:val="32"/>
          <w:szCs w:val="32"/>
        </w:rPr>
        <w:t>）、《</w:t>
      </w:r>
      <w:r>
        <w:rPr>
          <w:color w:val="333333"/>
          <w:sz w:val="30"/>
          <w:szCs w:val="30"/>
        </w:rPr>
        <w:t>食品安全国家标准 食品中致病菌限量</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）、食品整治办〔2009〕5号。</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糕点抽检项目包括苯甲酸及其钠盐（以苯甲酸计）、防腐剂混合使用时各自用量占其最大使用量的比例之和、富马酸二甲酯、过氧化值（以脂肪计）、菌落总数(n=5)、铝的残留量(干样品，以Al计)、沙门氏菌（n=5）、山梨酸及其钾盐（以山梨酸计）、酸价（以脂肪计）（KOH）、糖精钠（以糖精计）。</w:t>
      </w:r>
    </w:p>
    <w:p>
      <w:pPr>
        <w:spacing w:line="440" w:lineRule="exact"/>
        <w:ind w:firstLine="320" w:firstLineChars="100"/>
        <w:rPr>
          <w:rFonts w:ascii="仿宋" w:hAnsi="仿宋" w:eastAsia="仿宋" w:cs="仿宋"/>
          <w:sz w:val="32"/>
          <w:szCs w:val="32"/>
        </w:rPr>
      </w:pPr>
      <w:r>
        <w:rPr>
          <w:rFonts w:hint="eastAsia" w:ascii="仿宋" w:hAnsi="仿宋" w:eastAsia="仿宋" w:cs="仿宋"/>
          <w:sz w:val="32"/>
          <w:szCs w:val="32"/>
        </w:rPr>
        <w:t>2、月饼抽检项目包括苯甲酸及其钠盐（以苯甲酸计）、防腐剂混合使用时各自用量占其最大使用量的比例之和、富马酸二甲酯、过氧化值（以脂肪计）、金黄色葡萄球菌（n=5）、菌落总数(n=5)、铝的残留量(干样品，以Al计)、霉菌、沙门氏菌（n=5）、山梨酸及其钾盐（以山梨酸计）、酸价（以脂肪计）（KOH）、糖精钠（以糖精计）。</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九</w:t>
      </w:r>
      <w:bookmarkStart w:id="0" w:name="_GoBack"/>
      <w:bookmarkEnd w:id="0"/>
      <w:r>
        <w:rPr>
          <w:rFonts w:hint="eastAsia" w:ascii="仿宋" w:hAnsi="仿宋" w:eastAsia="仿宋" w:cs="仿宋"/>
          <w:b/>
          <w:bCs/>
          <w:sz w:val="32"/>
          <w:szCs w:val="32"/>
        </w:rPr>
        <w:t>、保健食品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抽检依据国家食品药品监督管理局药品检验补充检验方法和检验项目批准件2009024、国家食品药品监督管理局药品检验补充检验方法和检验项目批准件2013002。</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改善睡眠类样品抽检项目包括艾司唑仑、地西泮、劳拉西泮、罗通定、氯氮卓、氯硝西泮、三唑仑。</w:t>
      </w:r>
    </w:p>
    <w:p>
      <w:pPr>
        <w:spacing w:line="440" w:lineRule="exact"/>
        <w:ind w:firstLine="320" w:firstLineChars="100"/>
        <w:rPr>
          <w:rFonts w:ascii="仿宋" w:hAnsi="仿宋" w:eastAsia="仿宋" w:cs="仿宋"/>
          <w:sz w:val="32"/>
          <w:szCs w:val="32"/>
        </w:rPr>
      </w:pPr>
    </w:p>
    <w:p>
      <w:pPr>
        <w:spacing w:line="44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EF54DB"/>
    <w:rsid w:val="0005155D"/>
    <w:rsid w:val="00145088"/>
    <w:rsid w:val="002B279A"/>
    <w:rsid w:val="00303A23"/>
    <w:rsid w:val="00304915"/>
    <w:rsid w:val="00341BB6"/>
    <w:rsid w:val="004E5964"/>
    <w:rsid w:val="00546378"/>
    <w:rsid w:val="005D6805"/>
    <w:rsid w:val="00624EA9"/>
    <w:rsid w:val="0063284D"/>
    <w:rsid w:val="006854AC"/>
    <w:rsid w:val="00865C00"/>
    <w:rsid w:val="00872616"/>
    <w:rsid w:val="008B1B91"/>
    <w:rsid w:val="008B72F1"/>
    <w:rsid w:val="00A4208F"/>
    <w:rsid w:val="00A672D5"/>
    <w:rsid w:val="00B00686"/>
    <w:rsid w:val="00BC321D"/>
    <w:rsid w:val="00C04F58"/>
    <w:rsid w:val="00C67279"/>
    <w:rsid w:val="00CB31A8"/>
    <w:rsid w:val="00D52A33"/>
    <w:rsid w:val="00F6396B"/>
    <w:rsid w:val="00FA2AAA"/>
    <w:rsid w:val="01277657"/>
    <w:rsid w:val="01580EF0"/>
    <w:rsid w:val="03A838D5"/>
    <w:rsid w:val="0567504F"/>
    <w:rsid w:val="07EB147C"/>
    <w:rsid w:val="0A2505BC"/>
    <w:rsid w:val="0EC56FEA"/>
    <w:rsid w:val="11EF54DB"/>
    <w:rsid w:val="128F2827"/>
    <w:rsid w:val="1373373F"/>
    <w:rsid w:val="14627A69"/>
    <w:rsid w:val="15E80DD9"/>
    <w:rsid w:val="187C357E"/>
    <w:rsid w:val="19F32051"/>
    <w:rsid w:val="1B591DA6"/>
    <w:rsid w:val="1BB9627F"/>
    <w:rsid w:val="1D41234E"/>
    <w:rsid w:val="1E031FB0"/>
    <w:rsid w:val="1E5C51C4"/>
    <w:rsid w:val="210D5C5D"/>
    <w:rsid w:val="214A1DB7"/>
    <w:rsid w:val="24C7444B"/>
    <w:rsid w:val="254E2CAE"/>
    <w:rsid w:val="260C095C"/>
    <w:rsid w:val="28F9231C"/>
    <w:rsid w:val="2D9F739D"/>
    <w:rsid w:val="2FD94FD4"/>
    <w:rsid w:val="32161A02"/>
    <w:rsid w:val="338C233E"/>
    <w:rsid w:val="33E51D8E"/>
    <w:rsid w:val="36FB547C"/>
    <w:rsid w:val="38897CBB"/>
    <w:rsid w:val="3A4C724D"/>
    <w:rsid w:val="3AAF0323"/>
    <w:rsid w:val="3C885698"/>
    <w:rsid w:val="3CED5833"/>
    <w:rsid w:val="477035F1"/>
    <w:rsid w:val="4A560B3F"/>
    <w:rsid w:val="4C20258C"/>
    <w:rsid w:val="4D4962E4"/>
    <w:rsid w:val="4F0133E7"/>
    <w:rsid w:val="4F991490"/>
    <w:rsid w:val="531E46CA"/>
    <w:rsid w:val="5595309F"/>
    <w:rsid w:val="56625C92"/>
    <w:rsid w:val="583E3DDC"/>
    <w:rsid w:val="59F36BB9"/>
    <w:rsid w:val="5AAC03DD"/>
    <w:rsid w:val="5AEA18B6"/>
    <w:rsid w:val="5E375F29"/>
    <w:rsid w:val="5FE366F8"/>
    <w:rsid w:val="63D8370D"/>
    <w:rsid w:val="65FB7ABA"/>
    <w:rsid w:val="6A364A94"/>
    <w:rsid w:val="6B2B05B2"/>
    <w:rsid w:val="6B916080"/>
    <w:rsid w:val="6BEC2508"/>
    <w:rsid w:val="6D8E4D67"/>
    <w:rsid w:val="70F60347"/>
    <w:rsid w:val="71BC4480"/>
    <w:rsid w:val="74E52EC6"/>
    <w:rsid w:val="75E709EA"/>
    <w:rsid w:val="76275CCF"/>
    <w:rsid w:val="78B56F07"/>
    <w:rsid w:val="7B571F2C"/>
    <w:rsid w:val="7B7B2338"/>
    <w:rsid w:val="7D5B37D1"/>
    <w:rsid w:val="7DEA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5"/>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35"/>
    <w:uiPriority w:val="0"/>
    <w:rPr>
      <w:sz w:val="18"/>
      <w:szCs w:val="18"/>
    </w:rPr>
  </w:style>
  <w:style w:type="paragraph" w:styleId="4">
    <w:name w:val="footer"/>
    <w:basedOn w:val="1"/>
    <w:link w:val="34"/>
    <w:uiPriority w:val="0"/>
    <w:pPr>
      <w:tabs>
        <w:tab w:val="center" w:pos="4153"/>
        <w:tab w:val="right" w:pos="8306"/>
      </w:tabs>
      <w:snapToGrid w:val="0"/>
      <w:jc w:val="left"/>
    </w:pPr>
    <w:rPr>
      <w:sz w:val="18"/>
      <w:szCs w:val="18"/>
    </w:rPr>
  </w:style>
  <w:style w:type="paragraph" w:styleId="5">
    <w:name w:val="header"/>
    <w:basedOn w:val="1"/>
    <w:link w:val="33"/>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A4440"/>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ascii="Consolas" w:hAnsi="Consolas" w:eastAsia="Consolas" w:cs="Consolas"/>
      <w:sz w:val="21"/>
      <w:szCs w:val="21"/>
    </w:rPr>
  </w:style>
  <w:style w:type="character" w:customStyle="1" w:styleId="15">
    <w:name w:val="标题 2 Char"/>
    <w:basedOn w:val="6"/>
    <w:link w:val="2"/>
    <w:qFormat/>
    <w:uiPriority w:val="0"/>
    <w:rPr>
      <w:rFonts w:ascii="Arial" w:hAnsi="Arial" w:eastAsia="黑体"/>
      <w:b/>
      <w:sz w:val="32"/>
    </w:rPr>
  </w:style>
  <w:style w:type="character" w:customStyle="1" w:styleId="16">
    <w:name w:val="label10"/>
    <w:basedOn w:val="6"/>
    <w:qFormat/>
    <w:uiPriority w:val="0"/>
    <w:rPr>
      <w:color w:val="1AB394"/>
      <w:shd w:val="clear" w:color="auto" w:fill="FFFFFF"/>
    </w:rPr>
  </w:style>
  <w:style w:type="character" w:customStyle="1" w:styleId="17">
    <w:name w:val="label11"/>
    <w:basedOn w:val="6"/>
    <w:qFormat/>
    <w:uiPriority w:val="0"/>
    <w:rPr>
      <w:color w:val="1CC09F"/>
      <w:shd w:val="clear" w:color="auto" w:fill="FFFFFF"/>
    </w:rPr>
  </w:style>
  <w:style w:type="character" w:customStyle="1" w:styleId="18">
    <w:name w:val="label12"/>
    <w:basedOn w:val="6"/>
    <w:qFormat/>
    <w:uiPriority w:val="0"/>
  </w:style>
  <w:style w:type="character" w:customStyle="1" w:styleId="19">
    <w:name w:val="label13"/>
    <w:basedOn w:val="6"/>
    <w:qFormat/>
    <w:uiPriority w:val="0"/>
  </w:style>
  <w:style w:type="character" w:customStyle="1" w:styleId="20">
    <w:name w:val="hover11"/>
    <w:basedOn w:val="6"/>
    <w:qFormat/>
    <w:uiPriority w:val="0"/>
    <w:rPr>
      <w:shd w:val="clear" w:color="auto" w:fill="EEEEEE"/>
    </w:rPr>
  </w:style>
  <w:style w:type="character" w:customStyle="1" w:styleId="21">
    <w:name w:val="old"/>
    <w:basedOn w:val="6"/>
    <w:qFormat/>
    <w:uiPriority w:val="0"/>
    <w:rPr>
      <w:color w:val="999999"/>
    </w:rPr>
  </w:style>
  <w:style w:type="character" w:customStyle="1" w:styleId="22">
    <w:name w:val="new"/>
    <w:basedOn w:val="6"/>
    <w:qFormat/>
    <w:uiPriority w:val="0"/>
    <w:rPr>
      <w:color w:val="999999"/>
    </w:rPr>
  </w:style>
  <w:style w:type="character" w:customStyle="1" w:styleId="23">
    <w:name w:val="first-child"/>
    <w:basedOn w:val="6"/>
    <w:qFormat/>
    <w:uiPriority w:val="0"/>
  </w:style>
  <w:style w:type="character" w:customStyle="1" w:styleId="24">
    <w:name w:val="layui-this"/>
    <w:basedOn w:val="6"/>
    <w:qFormat/>
    <w:uiPriority w:val="0"/>
    <w:rPr>
      <w:bdr w:val="single" w:color="EEEEEE" w:sz="6" w:space="0"/>
      <w:shd w:val="clear" w:color="auto" w:fill="FFFFFF"/>
    </w:rPr>
  </w:style>
  <w:style w:type="character" w:customStyle="1" w:styleId="25">
    <w:name w:val="active7"/>
    <w:basedOn w:val="6"/>
    <w:qFormat/>
    <w:uiPriority w:val="0"/>
    <w:rPr>
      <w:shd w:val="clear" w:color="auto" w:fill="F6F6F6"/>
    </w:rPr>
  </w:style>
  <w:style w:type="character" w:customStyle="1" w:styleId="26">
    <w:name w:val="label"/>
    <w:basedOn w:val="6"/>
    <w:qFormat/>
    <w:uiPriority w:val="0"/>
    <w:rPr>
      <w:color w:val="1AB394"/>
      <w:shd w:val="clear" w:color="auto" w:fill="FFFFFF"/>
    </w:rPr>
  </w:style>
  <w:style w:type="character" w:customStyle="1" w:styleId="27">
    <w:name w:val="label1"/>
    <w:basedOn w:val="6"/>
    <w:qFormat/>
    <w:uiPriority w:val="0"/>
    <w:rPr>
      <w:color w:val="1CC09F"/>
      <w:shd w:val="clear" w:color="auto" w:fill="FFFFFF"/>
    </w:rPr>
  </w:style>
  <w:style w:type="character" w:customStyle="1" w:styleId="28">
    <w:name w:val="label2"/>
    <w:basedOn w:val="6"/>
    <w:qFormat/>
    <w:uiPriority w:val="0"/>
    <w:rPr>
      <w:bdr w:val="dashed" w:color="E7EAEC" w:sz="6" w:space="0"/>
      <w:shd w:val="clear" w:color="auto" w:fill="F3F3F4"/>
    </w:rPr>
  </w:style>
  <w:style w:type="character" w:customStyle="1" w:styleId="29">
    <w:name w:val="label3"/>
    <w:basedOn w:val="6"/>
    <w:qFormat/>
    <w:uiPriority w:val="0"/>
  </w:style>
  <w:style w:type="character" w:customStyle="1" w:styleId="30">
    <w:name w:val="active"/>
    <w:basedOn w:val="6"/>
    <w:qFormat/>
    <w:uiPriority w:val="0"/>
    <w:rPr>
      <w:shd w:val="clear" w:color="auto" w:fill="F6F6F6"/>
    </w:rPr>
  </w:style>
  <w:style w:type="character" w:customStyle="1" w:styleId="31">
    <w:name w:val="label9"/>
    <w:basedOn w:val="6"/>
    <w:qFormat/>
    <w:uiPriority w:val="0"/>
    <w:rPr>
      <w:color w:val="1CC09F"/>
      <w:shd w:val="clear" w:color="auto" w:fill="FFFFFF"/>
    </w:rPr>
  </w:style>
  <w:style w:type="character" w:customStyle="1" w:styleId="32">
    <w:name w:val="hover10"/>
    <w:basedOn w:val="6"/>
    <w:qFormat/>
    <w:uiPriority w:val="0"/>
    <w:rPr>
      <w:shd w:val="clear" w:color="auto" w:fill="EEEEEE"/>
    </w:rPr>
  </w:style>
  <w:style w:type="character" w:customStyle="1" w:styleId="33">
    <w:name w:val="页眉 Char"/>
    <w:basedOn w:val="6"/>
    <w:link w:val="5"/>
    <w:uiPriority w:val="0"/>
    <w:rPr>
      <w:rFonts w:ascii="Calibri" w:hAnsi="Calibri"/>
      <w:kern w:val="2"/>
      <w:sz w:val="18"/>
      <w:szCs w:val="18"/>
    </w:rPr>
  </w:style>
  <w:style w:type="character" w:customStyle="1" w:styleId="34">
    <w:name w:val="页脚 Char"/>
    <w:basedOn w:val="6"/>
    <w:link w:val="4"/>
    <w:uiPriority w:val="0"/>
    <w:rPr>
      <w:rFonts w:ascii="Calibri" w:hAnsi="Calibri"/>
      <w:kern w:val="2"/>
      <w:sz w:val="18"/>
      <w:szCs w:val="18"/>
    </w:rPr>
  </w:style>
  <w:style w:type="character" w:customStyle="1" w:styleId="35">
    <w:name w:val="批注框文本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328</Words>
  <Characters>1873</Characters>
  <Lines>15</Lines>
  <Paragraphs>4</Paragraphs>
  <TotalTime>0</TotalTime>
  <ScaleCrop>false</ScaleCrop>
  <LinksUpToDate>false</LinksUpToDate>
  <CharactersWithSpaces>2197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2019-05-07T08:39:00Z</dcterms:created>
  <dc:creator>♂屾屾</dc:creator>
  <cp:lastModifiedBy>维拉</cp:lastModifiedBy>
  <dcterms:modified xsi:type="dcterms:W3CDTF">2020-11-02T01:50:21Z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