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标宋" w:hAnsi="文星标宋" w:eastAsia="文星标宋"/>
          <w:sz w:val="32"/>
          <w:szCs w:val="32"/>
        </w:rPr>
      </w:pPr>
      <w:r>
        <w:rPr>
          <w:rFonts w:hint="eastAsia" w:ascii="文星标宋" w:hAnsi="文星标宋" w:eastAsia="文星标宋"/>
          <w:sz w:val="32"/>
          <w:szCs w:val="32"/>
        </w:rPr>
        <w:t>三门峡市</w:t>
      </w:r>
      <w:r>
        <w:rPr>
          <w:rFonts w:hint="eastAsia" w:ascii="文星标宋" w:hAnsi="文星标宋" w:eastAsia="文星标宋"/>
          <w:sz w:val="32"/>
          <w:szCs w:val="32"/>
          <w:lang w:eastAsia="zh-CN"/>
        </w:rPr>
        <w:t>市场</w:t>
      </w:r>
      <w:r>
        <w:rPr>
          <w:rFonts w:hint="eastAsia" w:ascii="文星标宋" w:hAnsi="文星标宋" w:eastAsia="文星标宋"/>
          <w:sz w:val="32"/>
          <w:szCs w:val="32"/>
        </w:rPr>
        <w:t>监督管理局</w:t>
      </w:r>
    </w:p>
    <w:p>
      <w:pPr>
        <w:jc w:val="center"/>
        <w:rPr>
          <w:rFonts w:hint="eastAsia" w:ascii="文星标宋" w:hAnsi="文星标宋" w:eastAsia="文星标宋"/>
          <w:sz w:val="32"/>
          <w:szCs w:val="32"/>
        </w:rPr>
      </w:pPr>
      <w:r>
        <w:rPr>
          <w:rFonts w:hint="eastAsia" w:ascii="文星标宋" w:hAnsi="文星标宋" w:eastAsia="文星标宋"/>
          <w:sz w:val="32"/>
          <w:szCs w:val="32"/>
        </w:rPr>
        <w:t>《医疗器械经营许可证》行政许可</w:t>
      </w:r>
      <w:r>
        <w:rPr>
          <w:rFonts w:hint="eastAsia" w:ascii="文星标宋" w:hAnsi="文星标宋" w:eastAsia="文星标宋"/>
          <w:sz w:val="32"/>
          <w:szCs w:val="32"/>
          <w:lang w:eastAsia="zh-CN"/>
        </w:rPr>
        <w:t>变更</w:t>
      </w:r>
      <w:r>
        <w:rPr>
          <w:rFonts w:hint="eastAsia" w:ascii="文星标宋" w:hAnsi="文星标宋" w:eastAsia="文星标宋"/>
          <w:sz w:val="32"/>
          <w:szCs w:val="32"/>
        </w:rPr>
        <w:t>公告（20</w:t>
      </w:r>
      <w:r>
        <w:rPr>
          <w:rFonts w:hint="eastAsia" w:ascii="文星标宋" w:hAnsi="文星标宋" w:eastAsia="文星标宋"/>
          <w:sz w:val="32"/>
          <w:szCs w:val="32"/>
          <w:lang w:val="en-US" w:eastAsia="zh-CN"/>
        </w:rPr>
        <w:t>20</w:t>
      </w:r>
      <w:r>
        <w:rPr>
          <w:rFonts w:hint="eastAsia" w:ascii="文星标宋" w:hAnsi="文星标宋" w:eastAsia="文星标宋"/>
          <w:sz w:val="32"/>
          <w:szCs w:val="32"/>
        </w:rPr>
        <w:t>第</w:t>
      </w:r>
      <w:r>
        <w:rPr>
          <w:rFonts w:hint="eastAsia" w:ascii="文星标宋" w:hAnsi="文星标宋" w:eastAsia="文星标宋"/>
          <w:sz w:val="32"/>
          <w:szCs w:val="32"/>
          <w:lang w:val="en-US" w:eastAsia="zh-CN"/>
        </w:rPr>
        <w:t>20</w:t>
      </w:r>
      <w:r>
        <w:rPr>
          <w:rFonts w:hint="eastAsia" w:ascii="文星标宋" w:hAnsi="文星标宋" w:eastAsia="文星标宋"/>
          <w:sz w:val="32"/>
          <w:szCs w:val="32"/>
        </w:rPr>
        <w:t>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文星仿宋" w:hAnsi="文星仿宋" w:eastAsia="文星仿宋"/>
          <w:sz w:val="32"/>
          <w:szCs w:val="32"/>
        </w:rPr>
      </w:pPr>
      <w:r>
        <w:rPr>
          <w:rFonts w:hint="eastAsia" w:ascii="文星仿宋" w:hAnsi="文星仿宋" w:eastAsia="文星仿宋"/>
          <w:sz w:val="32"/>
          <w:szCs w:val="32"/>
        </w:rPr>
        <w:t>根据《医疗器械监督管理条例》、《医疗器械经营监督管理办法》，</w:t>
      </w:r>
      <w:r>
        <w:rPr>
          <w:rFonts w:hint="eastAsia" w:ascii="文星仿宋" w:hAnsi="文星仿宋" w:eastAsia="文星仿宋"/>
          <w:sz w:val="32"/>
          <w:szCs w:val="32"/>
          <w:lang w:val="en-US" w:eastAsia="zh-CN"/>
        </w:rPr>
        <w:t>华润三门峡医药有限公司湖滨德信行大药房、三门峡越华医疗器械有限公司、三门峡大光明眼镜有限公司</w:t>
      </w:r>
      <w:r>
        <w:rPr>
          <w:rFonts w:hint="eastAsia" w:ascii="文星仿宋" w:hAnsi="文星仿宋" w:eastAsia="文星仿宋"/>
          <w:sz w:val="32"/>
          <w:szCs w:val="32"/>
          <w:lang w:val="en-US" w:eastAsia="zh-CN"/>
        </w:rPr>
        <w:t>等5家企业</w:t>
      </w:r>
      <w:r>
        <w:rPr>
          <w:rFonts w:hint="eastAsia" w:ascii="文星仿宋" w:hAnsi="文星仿宋" w:eastAsia="文星仿宋"/>
          <w:sz w:val="32"/>
          <w:szCs w:val="32"/>
          <w:lang w:eastAsia="zh-CN"/>
        </w:rPr>
        <w:t>申请变更《医疗器械经营许可证》事项，经审查，申请材料齐全且符合法定形式。按照《医疗器械经营监督管理办法》（总局令第</w:t>
      </w:r>
      <w:r>
        <w:rPr>
          <w:rFonts w:hint="eastAsia" w:ascii="文星仿宋" w:hAnsi="文星仿宋" w:eastAsia="文星仿宋"/>
          <w:sz w:val="32"/>
          <w:szCs w:val="32"/>
          <w:lang w:val="en-US" w:eastAsia="zh-CN"/>
        </w:rPr>
        <w:t>8号</w:t>
      </w:r>
      <w:r>
        <w:rPr>
          <w:rFonts w:hint="eastAsia" w:ascii="文星仿宋" w:hAnsi="文星仿宋" w:eastAsia="文星仿宋"/>
          <w:sz w:val="32"/>
          <w:szCs w:val="32"/>
          <w:lang w:eastAsia="zh-CN"/>
        </w:rPr>
        <w:t>）第十九条的有关规定，</w:t>
      </w:r>
      <w:r>
        <w:rPr>
          <w:rFonts w:hint="eastAsia" w:ascii="文星仿宋" w:hAnsi="文星仿宋" w:eastAsia="文星仿宋"/>
          <w:sz w:val="32"/>
          <w:szCs w:val="32"/>
        </w:rPr>
        <w:t>准予</w:t>
      </w:r>
      <w:r>
        <w:rPr>
          <w:rFonts w:hint="eastAsia" w:ascii="文星仿宋" w:hAnsi="文星仿宋" w:eastAsia="文星仿宋"/>
          <w:sz w:val="32"/>
          <w:szCs w:val="32"/>
          <w:lang w:eastAsia="zh-CN"/>
        </w:rPr>
        <w:t>变更（见附表）</w:t>
      </w:r>
      <w:r>
        <w:rPr>
          <w:rFonts w:hint="eastAsia" w:ascii="文星仿宋" w:hAnsi="文星仿宋" w:eastAsia="文星仿宋"/>
          <w:sz w:val="32"/>
          <w:szCs w:val="32"/>
        </w:rPr>
        <w:t>。现予以公示，请社会各界监督。</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文星仿宋" w:hAnsi="文星仿宋" w:eastAsia="文星仿宋"/>
          <w:sz w:val="32"/>
          <w:szCs w:val="32"/>
        </w:rPr>
      </w:pPr>
      <w:r>
        <w:rPr>
          <w:rFonts w:hint="eastAsia" w:ascii="文星仿宋" w:hAnsi="文星仿宋" w:eastAsia="文星仿宋"/>
          <w:sz w:val="32"/>
          <w:szCs w:val="32"/>
        </w:rPr>
        <w:t xml:space="preserve">特此公告     </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320" w:firstLineChars="100"/>
        <w:jc w:val="right"/>
        <w:textAlignment w:val="auto"/>
        <w:outlineLvl w:val="9"/>
        <w:rPr>
          <w:rFonts w:hint="eastAsia" w:ascii="文星仿宋" w:hAnsi="文星仿宋" w:eastAsia="文星仿宋"/>
          <w:sz w:val="32"/>
          <w:szCs w:val="32"/>
          <w:lang w:val="en-US" w:eastAsia="zh-CN"/>
        </w:rPr>
      </w:pPr>
      <w:r>
        <w:rPr>
          <w:rFonts w:hint="eastAsia" w:ascii="文星仿宋" w:hAnsi="文星仿宋" w:eastAsia="文星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320" w:firstLineChars="100"/>
        <w:jc w:val="right"/>
        <w:textAlignment w:val="auto"/>
        <w:outlineLvl w:val="9"/>
        <w:rPr>
          <w:rFonts w:hint="eastAsia" w:ascii="文星仿宋" w:hAnsi="文星仿宋" w:eastAsia="文星仿宋"/>
          <w:sz w:val="32"/>
          <w:szCs w:val="32"/>
          <w:lang w:val="en-US" w:eastAsia="zh-CN"/>
        </w:rPr>
      </w:pPr>
      <w:r>
        <w:rPr>
          <w:rFonts w:hint="eastAsia" w:ascii="文星仿宋" w:hAnsi="文星仿宋" w:eastAsia="文星仿宋"/>
          <w:sz w:val="32"/>
          <w:szCs w:val="32"/>
        </w:rPr>
        <w:t>20</w:t>
      </w:r>
      <w:r>
        <w:rPr>
          <w:rFonts w:hint="eastAsia" w:ascii="文星仿宋" w:hAnsi="文星仿宋" w:eastAsia="文星仿宋"/>
          <w:sz w:val="32"/>
          <w:szCs w:val="32"/>
          <w:lang w:val="en-US" w:eastAsia="zh-CN"/>
        </w:rPr>
        <w:t>20</w:t>
      </w:r>
      <w:r>
        <w:rPr>
          <w:rFonts w:hint="eastAsia" w:ascii="文星仿宋" w:hAnsi="文星仿宋" w:eastAsia="文星仿宋"/>
          <w:sz w:val="32"/>
          <w:szCs w:val="32"/>
        </w:rPr>
        <w:t>年</w:t>
      </w:r>
      <w:r>
        <w:rPr>
          <w:rFonts w:hint="eastAsia" w:ascii="文星仿宋" w:hAnsi="文星仿宋" w:eastAsia="文星仿宋"/>
          <w:sz w:val="32"/>
          <w:szCs w:val="32"/>
          <w:lang w:val="en-US" w:eastAsia="zh-CN"/>
        </w:rPr>
        <w:t>7</w:t>
      </w:r>
      <w:r>
        <w:rPr>
          <w:rFonts w:hint="eastAsia" w:ascii="文星仿宋" w:hAnsi="文星仿宋" w:eastAsia="文星仿宋"/>
          <w:sz w:val="32"/>
          <w:szCs w:val="32"/>
        </w:rPr>
        <w:t>月</w:t>
      </w:r>
      <w:r>
        <w:rPr>
          <w:rFonts w:hint="eastAsia" w:ascii="文星仿宋" w:hAnsi="文星仿宋" w:eastAsia="文星仿宋"/>
          <w:sz w:val="32"/>
          <w:szCs w:val="32"/>
          <w:lang w:val="en-US" w:eastAsia="zh-CN"/>
        </w:rPr>
        <w:t>10</w:t>
      </w:r>
      <w:bookmarkStart w:id="0" w:name="_GoBack"/>
      <w:bookmarkEnd w:id="0"/>
      <w:r>
        <w:rPr>
          <w:rFonts w:hint="eastAsia" w:ascii="文星仿宋" w:hAnsi="文星仿宋" w:eastAsia="文星仿宋"/>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240" w:firstLineChars="100"/>
        <w:jc w:val="both"/>
        <w:textAlignment w:val="auto"/>
        <w:outlineLvl w:val="9"/>
        <w:rPr>
          <w:rFonts w:hint="eastAsia" w:ascii="文星仿宋" w:hAnsi="文星仿宋" w:eastAsia="文星仿宋"/>
          <w:sz w:val="24"/>
        </w:rPr>
      </w:pPr>
      <w:r>
        <w:rPr>
          <w:rFonts w:hint="eastAsia" w:ascii="文星仿宋" w:hAnsi="文星仿宋" w:eastAsia="文星仿宋"/>
          <w:sz w:val="24"/>
        </w:rPr>
        <w:t>附表：</w:t>
      </w:r>
    </w:p>
    <w:tbl>
      <w:tblPr>
        <w:tblStyle w:val="5"/>
        <w:tblW w:w="14055" w:type="dxa"/>
        <w:tblInd w:w="0" w:type="dxa"/>
        <w:tblLayout w:type="fixed"/>
        <w:tblCellMar>
          <w:top w:w="0" w:type="dxa"/>
          <w:left w:w="108" w:type="dxa"/>
          <w:bottom w:w="0" w:type="dxa"/>
          <w:right w:w="108" w:type="dxa"/>
        </w:tblCellMar>
      </w:tblPr>
      <w:tblGrid>
        <w:gridCol w:w="467"/>
        <w:gridCol w:w="968"/>
        <w:gridCol w:w="9804"/>
        <w:gridCol w:w="782"/>
        <w:gridCol w:w="803"/>
        <w:gridCol w:w="1231"/>
      </w:tblGrid>
      <w:tr>
        <w:tblPrEx>
          <w:tblLayout w:type="fixed"/>
          <w:tblCellMar>
            <w:top w:w="0" w:type="dxa"/>
            <w:left w:w="108" w:type="dxa"/>
            <w:bottom w:w="0" w:type="dxa"/>
            <w:right w:w="108" w:type="dxa"/>
          </w:tblCellMar>
        </w:tblPrEx>
        <w:trPr>
          <w:trHeight w:val="428" w:hRule="atLeast"/>
        </w:trPr>
        <w:tc>
          <w:tcPr>
            <w:tcW w:w="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hint="eastAsia" w:ascii="文星仿宋" w:hAnsi="文星仿宋" w:eastAsia="文星仿宋" w:cs="文星仿宋"/>
                <w:color w:val="000000"/>
                <w:kern w:val="0"/>
                <w:sz w:val="18"/>
                <w:szCs w:val="18"/>
                <w:lang w:eastAsia="zh-CN"/>
              </w:rPr>
            </w:pPr>
            <w:r>
              <w:rPr>
                <w:rFonts w:hint="eastAsia" w:ascii="文星仿宋" w:hAnsi="文星仿宋" w:eastAsia="文星仿宋" w:cs="文星仿宋"/>
                <w:color w:val="000000"/>
                <w:kern w:val="0"/>
                <w:sz w:val="18"/>
                <w:szCs w:val="18"/>
                <w:lang w:eastAsia="zh-CN"/>
              </w:rPr>
              <w:t>序号</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文星仿宋" w:hAnsi="文星仿宋" w:eastAsia="文星仿宋" w:cs="文星仿宋"/>
                <w:color w:val="000000"/>
                <w:sz w:val="18"/>
                <w:szCs w:val="18"/>
              </w:rPr>
            </w:pPr>
            <w:r>
              <w:rPr>
                <w:rFonts w:hint="eastAsia" w:ascii="文星仿宋" w:hAnsi="文星仿宋" w:eastAsia="文星仿宋" w:cs="文星仿宋"/>
                <w:color w:val="000000"/>
                <w:kern w:val="0"/>
                <w:sz w:val="18"/>
                <w:szCs w:val="18"/>
              </w:rPr>
              <w:t>企业名称</w:t>
            </w:r>
          </w:p>
        </w:tc>
        <w:tc>
          <w:tcPr>
            <w:tcW w:w="98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ind w:right="508" w:rightChars="242"/>
              <w:jc w:val="center"/>
              <w:textAlignment w:val="center"/>
              <w:rPr>
                <w:rFonts w:hint="eastAsia" w:ascii="文星仿宋" w:hAnsi="文星仿宋" w:eastAsia="文星仿宋" w:cs="文星仿宋"/>
                <w:color w:val="000000"/>
                <w:sz w:val="18"/>
                <w:szCs w:val="18"/>
                <w:lang w:eastAsia="zh-CN"/>
              </w:rPr>
            </w:pPr>
            <w:r>
              <w:rPr>
                <w:rFonts w:hint="eastAsia" w:ascii="文星仿宋" w:hAnsi="文星仿宋" w:eastAsia="文星仿宋" w:cs="文星仿宋"/>
                <w:color w:val="000000"/>
                <w:sz w:val="18"/>
                <w:szCs w:val="18"/>
                <w:lang w:eastAsia="zh-CN"/>
              </w:rPr>
              <w:t>变更内容</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文星仿宋" w:hAnsi="文星仿宋" w:eastAsia="文星仿宋" w:cs="文星仿宋"/>
                <w:color w:val="000000"/>
                <w:sz w:val="18"/>
                <w:szCs w:val="18"/>
              </w:rPr>
            </w:pPr>
            <w:r>
              <w:rPr>
                <w:rFonts w:hint="eastAsia" w:ascii="文星仿宋" w:hAnsi="文星仿宋" w:eastAsia="文星仿宋" w:cs="文星仿宋"/>
                <w:color w:val="000000"/>
                <w:kern w:val="0"/>
                <w:sz w:val="18"/>
                <w:szCs w:val="18"/>
              </w:rPr>
              <w:t>审批日期</w:t>
            </w:r>
          </w:p>
        </w:tc>
        <w:tc>
          <w:tcPr>
            <w:tcW w:w="8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文星仿宋" w:hAnsi="文星仿宋" w:eastAsia="文星仿宋" w:cs="文星仿宋"/>
                <w:color w:val="000000"/>
                <w:sz w:val="18"/>
                <w:szCs w:val="18"/>
              </w:rPr>
            </w:pPr>
            <w:r>
              <w:rPr>
                <w:rFonts w:hint="eastAsia" w:ascii="文星仿宋" w:hAnsi="文星仿宋" w:eastAsia="文星仿宋" w:cs="文星仿宋"/>
                <w:color w:val="000000"/>
                <w:kern w:val="0"/>
                <w:sz w:val="18"/>
                <w:szCs w:val="18"/>
              </w:rPr>
              <w:t>有效期至</w:t>
            </w:r>
          </w:p>
        </w:tc>
        <w:tc>
          <w:tcPr>
            <w:tcW w:w="12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ascii="文星仿宋" w:hAnsi="文星仿宋" w:eastAsia="文星仿宋" w:cs="文星仿宋"/>
                <w:color w:val="000000"/>
                <w:kern w:val="0"/>
                <w:sz w:val="18"/>
                <w:szCs w:val="18"/>
              </w:rPr>
            </w:pPr>
            <w:r>
              <w:rPr>
                <w:rFonts w:hint="eastAsia" w:ascii="文星仿宋" w:hAnsi="文星仿宋" w:eastAsia="文星仿宋" w:cs="文星仿宋"/>
                <w:color w:val="000000"/>
                <w:kern w:val="0"/>
                <w:sz w:val="18"/>
                <w:szCs w:val="18"/>
              </w:rPr>
              <w:t>经营许可证号</w:t>
            </w:r>
          </w:p>
        </w:tc>
      </w:tr>
      <w:tr>
        <w:tblPrEx>
          <w:tblLayout w:type="fixed"/>
          <w:tblCellMar>
            <w:top w:w="0" w:type="dxa"/>
            <w:left w:w="108" w:type="dxa"/>
            <w:bottom w:w="0" w:type="dxa"/>
            <w:right w:w="108" w:type="dxa"/>
          </w:tblCellMar>
        </w:tblPrEx>
        <w:trPr>
          <w:trHeight w:val="1031" w:hRule="exact"/>
        </w:trPr>
        <w:tc>
          <w:tcPr>
            <w:tcW w:w="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1</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华润三门峡医药有限公司湖滨德信行大药房</w:t>
            </w:r>
          </w:p>
        </w:tc>
        <w:tc>
          <w:tcPr>
            <w:tcW w:w="98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企业负责人变更为李俊开；经营场所文字性变更为河南省三门峡市湖滨区崤山路76号门面房（中心医院北门西100米）</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2020/06/30</w:t>
            </w:r>
          </w:p>
        </w:tc>
        <w:tc>
          <w:tcPr>
            <w:tcW w:w="8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2023/09/09</w:t>
            </w:r>
          </w:p>
        </w:tc>
        <w:tc>
          <w:tcPr>
            <w:tcW w:w="12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豫三食药监械经营许20180058号</w:t>
            </w:r>
          </w:p>
        </w:tc>
      </w:tr>
      <w:tr>
        <w:tblPrEx>
          <w:tblLayout w:type="fixed"/>
          <w:tblCellMar>
            <w:top w:w="0" w:type="dxa"/>
            <w:left w:w="108" w:type="dxa"/>
            <w:bottom w:w="0" w:type="dxa"/>
            <w:right w:w="108" w:type="dxa"/>
          </w:tblCellMar>
        </w:tblPrEx>
        <w:trPr>
          <w:trHeight w:val="911" w:hRule="exact"/>
        </w:trPr>
        <w:tc>
          <w:tcPr>
            <w:tcW w:w="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三门峡越华医疗器械有限公司</w:t>
            </w:r>
          </w:p>
        </w:tc>
        <w:tc>
          <w:tcPr>
            <w:tcW w:w="98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企业名称变更为河南越华医疗器械有限公司</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2020/6/30</w:t>
            </w:r>
          </w:p>
        </w:tc>
        <w:tc>
          <w:tcPr>
            <w:tcW w:w="8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2024/12/04</w:t>
            </w:r>
          </w:p>
        </w:tc>
        <w:tc>
          <w:tcPr>
            <w:tcW w:w="12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豫三食药监械经营许20190082号</w:t>
            </w:r>
          </w:p>
        </w:tc>
      </w:tr>
      <w:tr>
        <w:tblPrEx>
          <w:tblLayout w:type="fixed"/>
          <w:tblCellMar>
            <w:top w:w="0" w:type="dxa"/>
            <w:left w:w="108" w:type="dxa"/>
            <w:bottom w:w="0" w:type="dxa"/>
            <w:right w:w="108" w:type="dxa"/>
          </w:tblCellMar>
        </w:tblPrEx>
        <w:trPr>
          <w:trHeight w:val="968" w:hRule="exact"/>
        </w:trPr>
        <w:tc>
          <w:tcPr>
            <w:tcW w:w="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3</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灵宝市华瑞医药连锁有限责任公司锦悦花庭店</w:t>
            </w:r>
          </w:p>
        </w:tc>
        <w:tc>
          <w:tcPr>
            <w:tcW w:w="98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企业名称变更为灵宝市华瑞医药连锁有限责任公司锦悦华庭店；经营场所文字性变更为河南省三门峡市灵宝市城关镇锦悦华庭西门口100米</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2020/7/6</w:t>
            </w:r>
          </w:p>
        </w:tc>
        <w:tc>
          <w:tcPr>
            <w:tcW w:w="8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2025/6/21</w:t>
            </w:r>
          </w:p>
        </w:tc>
        <w:tc>
          <w:tcPr>
            <w:tcW w:w="12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豫三食药监械经营许20200043号</w:t>
            </w:r>
          </w:p>
        </w:tc>
      </w:tr>
      <w:tr>
        <w:tblPrEx>
          <w:tblLayout w:type="fixed"/>
          <w:tblCellMar>
            <w:top w:w="0" w:type="dxa"/>
            <w:left w:w="108" w:type="dxa"/>
            <w:bottom w:w="0" w:type="dxa"/>
            <w:right w:w="108" w:type="dxa"/>
          </w:tblCellMar>
        </w:tblPrEx>
        <w:trPr>
          <w:trHeight w:val="720" w:hRule="exact"/>
        </w:trPr>
        <w:tc>
          <w:tcPr>
            <w:tcW w:w="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4</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三门峡大光明眼镜有限公司</w:t>
            </w:r>
          </w:p>
        </w:tc>
        <w:tc>
          <w:tcPr>
            <w:tcW w:w="98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经营方式变更为批零兼营</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2020/7/6</w:t>
            </w:r>
          </w:p>
        </w:tc>
        <w:tc>
          <w:tcPr>
            <w:tcW w:w="8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2025/1/16</w:t>
            </w:r>
          </w:p>
        </w:tc>
        <w:tc>
          <w:tcPr>
            <w:tcW w:w="12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豫三食药监械经营许20150006号</w:t>
            </w:r>
          </w:p>
        </w:tc>
      </w:tr>
      <w:tr>
        <w:tblPrEx>
          <w:tblLayout w:type="fixed"/>
          <w:tblCellMar>
            <w:top w:w="0" w:type="dxa"/>
            <w:left w:w="108" w:type="dxa"/>
            <w:bottom w:w="0" w:type="dxa"/>
            <w:right w:w="108" w:type="dxa"/>
          </w:tblCellMar>
        </w:tblPrEx>
        <w:trPr>
          <w:trHeight w:val="2877" w:hRule="exact"/>
        </w:trPr>
        <w:tc>
          <w:tcPr>
            <w:tcW w:w="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5</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河南西雅南坡商贸有限公司</w:t>
            </w:r>
          </w:p>
        </w:tc>
        <w:tc>
          <w:tcPr>
            <w:tcW w:w="98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left"/>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经营范围变更为原分类目录第三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诊断试剂除外），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件，6877介入器材。</w:t>
            </w:r>
          </w:p>
          <w:p>
            <w:pPr>
              <w:widowControl/>
              <w:spacing w:line="240" w:lineRule="exact"/>
              <w:jc w:val="left"/>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新分类目录第三类：01有源手术器械，02无源手术器械，03神经和心血管手术器械，04骨科手术器械，05放射治疗器械，06医用成像器械，07医用诊察和监护器械，08呼吸、麻醉和急救器械，09物理治疗器械，10输血、透析和体外循环器械，12有源植入器械，13无源植入器械，14注输、护理和防护器械，16眼科器械，17口腔科器械，18妇产科、辅助生殖和避孕器械，20中医器械，21医用软件，22临床检验器械。</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2020/7/7</w:t>
            </w:r>
          </w:p>
        </w:tc>
        <w:tc>
          <w:tcPr>
            <w:tcW w:w="8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2025/5/26</w:t>
            </w:r>
          </w:p>
        </w:tc>
        <w:tc>
          <w:tcPr>
            <w:tcW w:w="12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豫三食药监械经营许20200033号</w:t>
            </w: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4000101010101"/>
    <w:charset w:val="86"/>
    <w:family w:val="auto"/>
    <w:pitch w:val="default"/>
    <w:sig w:usb0="00000001" w:usb1="080E0000" w:usb2="00000000" w:usb3="00000000" w:csb0="00040001" w:csb1="00000000"/>
  </w:font>
  <w:font w:name="文星仿宋">
    <w:panose1 w:val="02010604000101010101"/>
    <w:charset w:val="86"/>
    <w:family w:val="auto"/>
    <w:pitch w:val="default"/>
    <w:sig w:usb0="00000001"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803FE"/>
    <w:rsid w:val="03627030"/>
    <w:rsid w:val="03D02674"/>
    <w:rsid w:val="03D22E13"/>
    <w:rsid w:val="041C6F7B"/>
    <w:rsid w:val="04792816"/>
    <w:rsid w:val="0AB7692C"/>
    <w:rsid w:val="0ABD679E"/>
    <w:rsid w:val="0B237616"/>
    <w:rsid w:val="0C0B6EEA"/>
    <w:rsid w:val="0DC75A1F"/>
    <w:rsid w:val="0EBA6E25"/>
    <w:rsid w:val="0F365654"/>
    <w:rsid w:val="107C5EBB"/>
    <w:rsid w:val="11CC5F67"/>
    <w:rsid w:val="12214B6A"/>
    <w:rsid w:val="14E92242"/>
    <w:rsid w:val="176B2D4F"/>
    <w:rsid w:val="1C6C5D7A"/>
    <w:rsid w:val="1D4673F4"/>
    <w:rsid w:val="1DD52304"/>
    <w:rsid w:val="1E250C0A"/>
    <w:rsid w:val="1E5D4617"/>
    <w:rsid w:val="227152AA"/>
    <w:rsid w:val="246B672E"/>
    <w:rsid w:val="26585882"/>
    <w:rsid w:val="26852A83"/>
    <w:rsid w:val="27E06D64"/>
    <w:rsid w:val="29336DC5"/>
    <w:rsid w:val="2B114C97"/>
    <w:rsid w:val="2B245869"/>
    <w:rsid w:val="2F7E7E37"/>
    <w:rsid w:val="2FED329F"/>
    <w:rsid w:val="31AD1496"/>
    <w:rsid w:val="32001F29"/>
    <w:rsid w:val="322759A8"/>
    <w:rsid w:val="33E7774F"/>
    <w:rsid w:val="347A5D10"/>
    <w:rsid w:val="3554452A"/>
    <w:rsid w:val="35790844"/>
    <w:rsid w:val="37056893"/>
    <w:rsid w:val="37C654BB"/>
    <w:rsid w:val="37E42B6C"/>
    <w:rsid w:val="3E352908"/>
    <w:rsid w:val="3FB33F7C"/>
    <w:rsid w:val="41B012AB"/>
    <w:rsid w:val="440E5717"/>
    <w:rsid w:val="44287747"/>
    <w:rsid w:val="454451AA"/>
    <w:rsid w:val="47A7024D"/>
    <w:rsid w:val="47C713AE"/>
    <w:rsid w:val="48302ACE"/>
    <w:rsid w:val="48C40AC0"/>
    <w:rsid w:val="49E81F3B"/>
    <w:rsid w:val="4C907735"/>
    <w:rsid w:val="4DD04917"/>
    <w:rsid w:val="4E896835"/>
    <w:rsid w:val="50E71174"/>
    <w:rsid w:val="512B003B"/>
    <w:rsid w:val="517360EF"/>
    <w:rsid w:val="537B0419"/>
    <w:rsid w:val="56866384"/>
    <w:rsid w:val="5799335C"/>
    <w:rsid w:val="57C1483E"/>
    <w:rsid w:val="57D64E4A"/>
    <w:rsid w:val="5AE1187C"/>
    <w:rsid w:val="5B862726"/>
    <w:rsid w:val="5D6F5718"/>
    <w:rsid w:val="5EC64E41"/>
    <w:rsid w:val="5FAE548A"/>
    <w:rsid w:val="612E58F0"/>
    <w:rsid w:val="624362C2"/>
    <w:rsid w:val="63C47F31"/>
    <w:rsid w:val="655363A9"/>
    <w:rsid w:val="666B158D"/>
    <w:rsid w:val="6A1F2589"/>
    <w:rsid w:val="6C66304A"/>
    <w:rsid w:val="6C6E084A"/>
    <w:rsid w:val="6D6E60ED"/>
    <w:rsid w:val="6DE62F48"/>
    <w:rsid w:val="6EED698E"/>
    <w:rsid w:val="6F0A2C6A"/>
    <w:rsid w:val="6FFE4440"/>
    <w:rsid w:val="70C47AE3"/>
    <w:rsid w:val="7200291C"/>
    <w:rsid w:val="728D4F06"/>
    <w:rsid w:val="72DC54C9"/>
    <w:rsid w:val="774E4A9D"/>
    <w:rsid w:val="795C6593"/>
    <w:rsid w:val="79E9071C"/>
    <w:rsid w:val="7A0E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800080"/>
      <w:u w:val="single"/>
    </w:rPr>
  </w:style>
  <w:style w:type="character" w:styleId="4">
    <w:name w:val="Hyperlink"/>
    <w:basedOn w:val="2"/>
    <w:qFormat/>
    <w:uiPriority w:val="0"/>
    <w:rPr>
      <w:color w:val="0000FF"/>
      <w:u w:val="single"/>
    </w:rPr>
  </w:style>
  <w:style w:type="character" w:customStyle="1" w:styleId="6">
    <w:name w:val="l-btn-empty"/>
    <w:basedOn w:val="2"/>
    <w:qFormat/>
    <w:uiPriority w:val="0"/>
  </w:style>
  <w:style w:type="character" w:customStyle="1" w:styleId="7">
    <w:name w:val="l-btn-left"/>
    <w:basedOn w:val="2"/>
    <w:qFormat/>
    <w:uiPriority w:val="0"/>
  </w:style>
  <w:style w:type="character" w:customStyle="1" w:styleId="8">
    <w:name w:val="l-btn-left1"/>
    <w:basedOn w:val="2"/>
    <w:qFormat/>
    <w:uiPriority w:val="0"/>
  </w:style>
  <w:style w:type="character" w:customStyle="1" w:styleId="9">
    <w:name w:val="l-btn-left2"/>
    <w:basedOn w:val="2"/>
    <w:qFormat/>
    <w:uiPriority w:val="0"/>
  </w:style>
  <w:style w:type="character" w:customStyle="1" w:styleId="10">
    <w:name w:val="l-btn-left3"/>
    <w:basedOn w:val="2"/>
    <w:qFormat/>
    <w:uiPriority w:val="0"/>
  </w:style>
  <w:style w:type="character" w:customStyle="1" w:styleId="11">
    <w:name w:val="l-btn-text"/>
    <w:basedOn w:val="2"/>
    <w:qFormat/>
    <w:uiPriority w:val="0"/>
    <w:rPr>
      <w:vertAlign w:val="baseline"/>
    </w:rPr>
  </w:style>
  <w:style w:type="character" w:customStyle="1" w:styleId="12">
    <w:name w:val="l-btn-icon-left"/>
    <w:basedOn w:val="2"/>
    <w:qFormat/>
    <w:uiPriority w:val="0"/>
  </w:style>
  <w:style w:type="character" w:customStyle="1" w:styleId="13">
    <w:name w:val="l-btn-icon-right"/>
    <w:basedOn w:val="2"/>
    <w:qFormat/>
    <w:uiPriority w:val="0"/>
  </w:style>
  <w:style w:type="character" w:customStyle="1" w:styleId="14">
    <w:name w:val="first-child"/>
    <w:basedOn w:val="2"/>
    <w:qFormat/>
    <w:uiPriority w:val="0"/>
  </w:style>
  <w:style w:type="character" w:customStyle="1" w:styleId="15">
    <w:name w:val="layui-layer-tabnow"/>
    <w:basedOn w:val="2"/>
    <w:qFormat/>
    <w:uiPriority w:val="0"/>
    <w:rPr>
      <w:bdr w:val="single" w:color="CCCCCC" w:sz="6" w:space="0"/>
      <w:shd w:val="clear" w:fill="FFFFFF"/>
    </w:rPr>
  </w:style>
  <w:style w:type="character" w:customStyle="1" w:styleId="16">
    <w:name w:val="l-btn-left4"/>
    <w:basedOn w:val="2"/>
    <w:qFormat/>
    <w:uiPriority w:val="0"/>
  </w:style>
  <w:style w:type="character" w:customStyle="1" w:styleId="17">
    <w:name w:val="l-btn-left5"/>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dcterms:modified xsi:type="dcterms:W3CDTF">2020-07-08T08:01:08Z</dcterms:modified>
  <dc:title>三门峡市市场监督管理局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