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spacing w:line="440" w:lineRule="exact"/>
        <w:ind w:firstLine="630" w:firstLineChars="196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抽检依据《食品安全国家标准 食品添加剂使用标准》（GB 2760-2014）、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卫生部、国家食品药品监督管理局2012年第10号公告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440" w:lineRule="exact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1.发酵面制品(自制)抽检项目包括苯甲酸及其钠盐(以苯甲酸计)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糖精钠(以糖精计)。</w:t>
      </w:r>
    </w:p>
    <w:p>
      <w:pPr>
        <w:spacing w:line="440" w:lineRule="exact"/>
        <w:ind w:firstLine="627" w:firstLineChars="196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生湿面制品抽检项目包括苯甲酸及其钠盐(以苯甲酸计)、山梨酸及其钾盐(以山梨酸计)、糖精钠(以糖精计）。</w:t>
      </w:r>
    </w:p>
    <w:p>
      <w:pPr>
        <w:spacing w:line="44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.酱卤肉制品、肉灌肠、其他熟肉(自制)抽检项目包括</w:t>
      </w:r>
      <w:r>
        <w:rPr>
          <w:rFonts w:ascii="仿宋_GB2312" w:hAnsi="宋体" w:eastAsia="仿宋_GB2312"/>
          <w:sz w:val="32"/>
          <w:szCs w:val="32"/>
        </w:rPr>
        <w:t>亚硝酸盐(以亚硝酸钠计)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ascii="仿宋_GB2312" w:hAnsi="宋体" w:eastAsia="仿宋_GB2312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4.其他餐饮食品主要抽取餐饮饭店购买的食用油、米、面、自制饮料、调味料、蔬菜等，按相应的食品类别检验项目检验。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CF1"/>
    <w:multiLevelType w:val="singleLevel"/>
    <w:tmpl w:val="59019C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11EF54DB"/>
    <w:rsid w:val="128F2827"/>
    <w:rsid w:val="23496317"/>
    <w:rsid w:val="2FD94FD4"/>
    <w:rsid w:val="3AAF0323"/>
    <w:rsid w:val="4C20258C"/>
    <w:rsid w:val="54423102"/>
    <w:rsid w:val="5AEA18B6"/>
    <w:rsid w:val="7D9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2019-12-02T01:42:32Z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