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灵宝市百草堂药店、河南林诚医疗器械有限公司两家企业申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请</w:t>
      </w:r>
      <w:r>
        <w:rPr>
          <w:rFonts w:hint="eastAsia" w:ascii="文星仿宋" w:hAnsi="文星仿宋" w:eastAsia="文星仿宋" w:cs="文星仿宋"/>
          <w:sz w:val="32"/>
          <w:szCs w:val="32"/>
        </w:rPr>
        <w:t>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2019年10月15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6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灵宝市百草堂药店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宋体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企业名称变更为灵宝市仁合惠民医药有限公司百草堂店，企业负责人变更为李辉，经营场所变更为河南省三门峡市灵宝市黄河路6号，经营范围变更为：原分类目录第二类6801基础外科手术器械，6820普通诊察器械，6821医用电子仪器设备，6822医用光学器具、仪器及内窥镜设备（6822-1除外），6823医用超声仪器及有关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6864医用卫生材料及敷料，6865医用缝合材料及粘合剂，6866医用高分子材料及制品；新分类目录第二类：01有源手术器械，03神经和心血管手术器械，04骨科手术器械，07医用诊察和监护器械，09物理治疗器械，11医疗器械消毒灭菌器械，14注输、护理和防护器械，17口腔科器械，18妇产科、辅助生殖和避孕器械，19医用康复器械，20中医器械，21医用软件，22临床检验器械。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 20160070号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2019/09/30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 xml:space="preserve">河南林诚医疗器械有限公司 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企业法定代表人变更为权坤彬，经营范围变更为原分类目录第二类：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；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豫三食药监械经营备20170008号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2019/10/14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FC85BCD"/>
    <w:rsid w:val="0FFA0C30"/>
    <w:rsid w:val="11AE71F2"/>
    <w:rsid w:val="14DA2705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142F40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2111053"/>
    <w:rsid w:val="3336301C"/>
    <w:rsid w:val="334C1536"/>
    <w:rsid w:val="346F5EBF"/>
    <w:rsid w:val="35EC589F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7CD0F30"/>
    <w:rsid w:val="59B35CC1"/>
    <w:rsid w:val="59DE2312"/>
    <w:rsid w:val="5A793286"/>
    <w:rsid w:val="5B3215FB"/>
    <w:rsid w:val="5BD13E83"/>
    <w:rsid w:val="5D651190"/>
    <w:rsid w:val="5E0A1E0E"/>
    <w:rsid w:val="5EEC5398"/>
    <w:rsid w:val="60433E2A"/>
    <w:rsid w:val="606A51D7"/>
    <w:rsid w:val="609030EE"/>
    <w:rsid w:val="639D3872"/>
    <w:rsid w:val="653F74C5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44618"/>
    <w:rsid w:val="6D4E1239"/>
    <w:rsid w:val="6DF512FC"/>
    <w:rsid w:val="6EFB0DAD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l-btn-icon-right"/>
    <w:basedOn w:val="2"/>
    <w:qFormat/>
    <w:uiPriority w:val="0"/>
  </w:style>
  <w:style w:type="character" w:customStyle="1" w:styleId="8">
    <w:name w:val="first-child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left4"/>
    <w:basedOn w:val="2"/>
    <w:qFormat/>
    <w:uiPriority w:val="0"/>
  </w:style>
  <w:style w:type="character" w:customStyle="1" w:styleId="12">
    <w:name w:val="l-btn-left5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2"/>
    <w:qFormat/>
    <w:uiPriority w:val="0"/>
    <w:rPr>
      <w:vertAlign w:val="baseline"/>
    </w:rPr>
  </w:style>
  <w:style w:type="character" w:customStyle="1" w:styleId="15">
    <w:name w:val="l-btn-icon-left"/>
    <w:basedOn w:val="2"/>
    <w:qFormat/>
    <w:uiPriority w:val="0"/>
  </w:style>
  <w:style w:type="character" w:customStyle="1" w:styleId="16">
    <w:name w:val="l-btn-empty"/>
    <w:basedOn w:val="2"/>
    <w:qFormat/>
    <w:uiPriority w:val="0"/>
  </w:style>
  <w:style w:type="character" w:customStyle="1" w:styleId="17">
    <w:name w:val="l-btn-left"/>
    <w:basedOn w:val="2"/>
    <w:qFormat/>
    <w:uiPriority w:val="0"/>
  </w:style>
  <w:style w:type="character" w:customStyle="1" w:styleId="18">
    <w:name w:val="l-btn-left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2018-11-19T01:04:00Z</cp:lastPrinted>
  <dcterms:modified xsi:type="dcterms:W3CDTF">2019-10-15T00:59:29Z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