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文星仿宋" w:hAnsi="文星仿宋" w:eastAsia="文星仿宋" w:cs="文星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文星仿宋" w:hAnsi="文星仿宋" w:eastAsia="文星仿宋" w:cs="文星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文星标宋" w:hAnsi="文星标宋" w:eastAsia="文星标宋" w:cs="文星标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文星标宋" w:hAnsi="文星标宋" w:eastAsia="文星标宋" w:cs="文星标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收回《药品经营质量管理规范认证证书》企业名单</w:t>
      </w:r>
    </w:p>
    <w:tbl>
      <w:tblPr>
        <w:tblStyle w:val="3"/>
        <w:tblpPr w:vertAnchor="text"/>
        <w:tblW w:w="8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256"/>
        <w:gridCol w:w="1216"/>
        <w:gridCol w:w="1695"/>
        <w:gridCol w:w="150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文星标宋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25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文星标宋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121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文星标宋"/>
                <w:sz w:val="24"/>
                <w:szCs w:val="24"/>
                <w:lang w:val="en-US" w:eastAsia="zh-CN"/>
              </w:rPr>
              <w:t>经营方式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文星标宋"/>
                <w:sz w:val="24"/>
                <w:szCs w:val="24"/>
                <w:lang w:val="en-US" w:eastAsia="zh-CN"/>
              </w:rPr>
              <w:t>GSP证书编号</w:t>
            </w:r>
          </w:p>
        </w:tc>
        <w:tc>
          <w:tcPr>
            <w:tcW w:w="150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文星标宋"/>
                <w:sz w:val="24"/>
                <w:szCs w:val="24"/>
                <w:lang w:val="en-US" w:eastAsia="zh-CN"/>
              </w:rPr>
              <w:t>证书有效期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标宋" w:hAnsi="文星标宋" w:eastAsia="文星标宋" w:cs="文星标宋"/>
                <w:sz w:val="24"/>
                <w:szCs w:val="24"/>
                <w:lang w:val="en-US" w:eastAsia="zh-CN"/>
              </w:rPr>
              <w:t>撤销日期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卢氏县医药公司第十九店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eastAsia="zh-CN"/>
              </w:rPr>
              <w:t>卢氏县官道口镇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零售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C-SMX14-084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至2019年08月07日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2017年11月8日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卢氏县医药公司中兴药店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eastAsia="zh-CN"/>
              </w:rPr>
              <w:t>卢氏县官道口镇管道口街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零售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C-SMX16-045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至2021年08月04日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2017年11月8日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灵宝市弘康大药房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eastAsia="zh-CN"/>
              </w:rPr>
              <w:t>灵宝市富士路北段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零售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C-SMX14-168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至2019年12月29日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2017年10月21日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灵宝市宝通药店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eastAsia="zh-CN"/>
              </w:rPr>
              <w:t>灵宝市车站路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零售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C-SMX14-164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至2019年12月18日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2017年10月21日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灵宝市长生大药房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eastAsia="zh-CN"/>
              </w:rPr>
              <w:t>灵宝市车站路</w:t>
            </w: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17号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零售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C-SMX15-004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至2020年01月22日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u w:val="none"/>
                <w:lang w:val="en-US" w:eastAsia="zh-CN"/>
              </w:rPr>
              <w:t>2017年10月21日</w:t>
            </w:r>
          </w:p>
        </w:tc>
      </w:tr>
    </w:tbl>
    <w:p>
      <w:pPr>
        <w:ind w:firstLine="630"/>
        <w:rPr>
          <w:rFonts w:hint="eastAsia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11C4"/>
    <w:rsid w:val="17BF47DA"/>
    <w:rsid w:val="54E81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2017-11-20T09:07:00Z</dcterms:created>
  <dc:creator>  维持今生</dc:creator>
  <cp:lastModifiedBy>  维持今生</cp:lastModifiedBy>
  <dcterms:modified xsi:type="dcterms:W3CDTF">2017-11-20T09:07:31Z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